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9B7DB">
      <w:pPr>
        <w:spacing w:line="560" w:lineRule="exact"/>
        <w:rPr>
          <w:rFonts w:hint="default" w:ascii="Times New Roman" w:hAnsi="Times New Roman" w:eastAsia="方正黑体_GBK" w:cs="Times New Roman"/>
          <w:color w:val="000000"/>
          <w:kern w:val="0"/>
          <w:sz w:val="32"/>
          <w:szCs w:val="32"/>
          <w:lang w:val="en-US" w:eastAsia="zh-CN" w:bidi="ar"/>
        </w:rPr>
      </w:pPr>
      <w:r>
        <w:rPr>
          <w:rFonts w:hint="default" w:ascii="Times New Roman" w:hAnsi="Times New Roman" w:eastAsia="方正黑体_GBK" w:cs="Times New Roman"/>
          <w:color w:val="000000"/>
          <w:kern w:val="0"/>
          <w:sz w:val="32"/>
          <w:szCs w:val="32"/>
          <w:lang w:val="en-US" w:eastAsia="zh-CN" w:bidi="ar"/>
        </w:rPr>
        <w:t>附件</w:t>
      </w:r>
      <w:r>
        <w:rPr>
          <w:rFonts w:hint="eastAsia" w:ascii="Times New Roman" w:hAnsi="Times New Roman" w:eastAsia="方正黑体_GBK" w:cs="Times New Roman"/>
          <w:color w:val="000000"/>
          <w:kern w:val="0"/>
          <w:sz w:val="32"/>
          <w:szCs w:val="32"/>
          <w:lang w:val="en-US" w:eastAsia="zh-CN" w:bidi="ar"/>
        </w:rPr>
        <w:t>6</w:t>
      </w:r>
    </w:p>
    <w:p w14:paraId="5944C99D">
      <w:pPr>
        <w:spacing w:line="5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新文创设计主题单元信息</w:t>
      </w:r>
    </w:p>
    <w:p w14:paraId="3A80506C">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_GBK" w:cs="Times New Roman"/>
          <w:b w:val="0"/>
          <w:bCs w:val="0"/>
          <w:color w:val="auto"/>
          <w:sz w:val="44"/>
          <w:szCs w:val="44"/>
          <w:lang w:val="en-US" w:eastAsia="zh-CN"/>
        </w:rPr>
      </w:pPr>
    </w:p>
    <w:p w14:paraId="5FD73F1B">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_GBK" w:cs="Times New Roman"/>
          <w:b w:val="0"/>
          <w:bCs w:val="0"/>
          <w:color w:val="auto"/>
          <w:sz w:val="32"/>
          <w:szCs w:val="32"/>
          <w:lang w:val="en-US" w:eastAsia="zh-CN"/>
        </w:rPr>
      </w:pPr>
      <w:r>
        <w:rPr>
          <w:rFonts w:hint="default" w:ascii="Times New Roman" w:hAnsi="Times New Roman" w:eastAsia="方正小标宋_GBK" w:cs="Times New Roman"/>
          <w:b w:val="0"/>
          <w:bCs w:val="0"/>
          <w:color w:val="auto"/>
          <w:sz w:val="32"/>
          <w:szCs w:val="32"/>
          <w:lang w:val="en-US" w:eastAsia="zh-CN"/>
        </w:rPr>
        <w:t>池州傩</w:t>
      </w:r>
    </w:p>
    <w:p w14:paraId="11A22C31">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_GBK" w:cs="Times New Roman"/>
          <w:b w:val="0"/>
          <w:bCs w:val="0"/>
          <w:color w:val="auto"/>
          <w:sz w:val="32"/>
          <w:szCs w:val="32"/>
          <w:lang w:val="en-US" w:eastAsia="zh-CN"/>
        </w:rPr>
      </w:pPr>
    </w:p>
    <w:p w14:paraId="47E289B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基础信息</w:t>
      </w:r>
    </w:p>
    <w:p w14:paraId="0C9CB6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管理/权属单位</w:t>
      </w:r>
    </w:p>
    <w:p w14:paraId="1F886D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贵池区文化馆</w:t>
      </w:r>
    </w:p>
    <w:p w14:paraId="6B46AB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对接联系人</w:t>
      </w:r>
    </w:p>
    <w:p w14:paraId="4BC9939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职务：贵池区文化和旅游局产业发展科负责人</w:t>
      </w:r>
    </w:p>
    <w:p w14:paraId="11015E4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姓名：</w:t>
      </w:r>
      <w:r>
        <w:rPr>
          <w:rFonts w:hint="default" w:ascii="Times New Roman" w:hAnsi="Times New Roman" w:eastAsia="方正仿宋_GBK" w:cs="Times New Roman"/>
          <w:b w:val="0"/>
          <w:i w:val="0"/>
          <w:iCs w:val="0"/>
          <w:color w:val="auto"/>
          <w:kern w:val="0"/>
          <w:sz w:val="32"/>
          <w:szCs w:val="32"/>
          <w:u w:val="none"/>
          <w:lang w:val="en-US" w:eastAsia="zh-CN" w:bidi="ar"/>
        </w:rPr>
        <w:t>吴正任</w:t>
      </w:r>
    </w:p>
    <w:p w14:paraId="51BCC13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电话：18956651070</w:t>
      </w:r>
    </w:p>
    <w:p w14:paraId="71CB05F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二、文化元素深度解读</w:t>
      </w:r>
    </w:p>
    <w:p w14:paraId="25DB65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（一）历史渊源与传说故事</w:t>
      </w:r>
    </w:p>
    <w:p w14:paraId="2E6CE6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池州傩戏承袭了先秦时期“乡人傩”的传统，根植于我国农耕经济的架构中，其活动核心是“祭社”，以表达对土地赐予的回报，祈求风调雨顺、五谷丰登、亲邻和睦，体现着华夏民族对待自然和社会“滴水之恩，涌泉相报”的道德情操和积极向上的精神风貌。池州傩源于对昭明太子的祭祀活动，有着深厚的历史文化底蕴。表演者通常从十三四岁开始在长辈的指导下学习傩事活动中的仪轨、程式、动作、戏文、唱腔等，然后参加演出，这种文化传承方式使得池州傩戏得以延续至今。池州傩文化源于古代原始宗教文化对自然、图腾、祖先和鬼神的崇拜意识，是远古先民原始宗教意识和图腾崇拜意识的产物，它融合了先秦文化、中原文化和楚越文化的精髓，体现了当地人对自然力量的敬畏和对祖先的敬仰。池州傩戏以宗族为演出单位，以请神敬祖、驱邪纳福为目的，通过佩戴面具、表演傩舞和傩戏等形式，完成一系列庄严的祭祀仪式。</w:t>
      </w:r>
    </w:p>
    <w:p w14:paraId="1AB347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（二）文化符号与象征意义</w:t>
      </w:r>
    </w:p>
    <w:p w14:paraId="68EC074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（1）面具</w:t>
      </w:r>
    </w:p>
    <w:p w14:paraId="0AF2455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戴面具表演是池州傩的基本特征。池州傩面具俗称“脸子”，一般用黄杨木或柳木雕制，有“全脸子”和“半脸子”之分，一套脸子有18块、24块、28块、36块、42块不等。根据其数量有不同称谓，如十八学士、二十四诸天、二十八星宿、三十二方神、三十六金刚等。面具经过开光后，被尊为“傩神”，具有不可亵渎的灵性，与神灵等同。面具由枫杨木雕制，油漆彩绘，形状为外凸内凹，眼珠和眼角镂空，便于演员表演时向外张望。这些面具形状夸张，色彩鲜艳，生动地表现了人物的性格和特征。傩面具的制作工艺复杂，需要经过多道工序才能完成，体现了民间艺人的高超技艺。</w:t>
      </w:r>
    </w:p>
    <w:p w14:paraId="297C64DC">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（2）服饰道具</w:t>
      </w:r>
    </w:p>
    <w:p w14:paraId="7572119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在池州傩戏中，参与者需要穿着特定的服饰和使用各种道具来增强表演效果，这些服饰和道具往往具有丰富的象征意义和文化内涵。傩戏服饰保留了远古巫术服饰的精髓，款式宽松、粗犷而原始，风格上充分传达出傩仪的神秘庄重之感。这种服饰形制与古代农耕文明相契合，展现出浓郁的山区乡土气息。傩仪服装基本采用颜色艳丽的饱和色，如红色、蓝色等，这些色彩在视觉上具有冲击力，同时也承载着特定的文化意义。池州傩戏演员的面部不化妆，一直沿袭戴面具演出的传统。</w:t>
      </w:r>
    </w:p>
    <w:p w14:paraId="0BFFC2B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（3）面具语言</w:t>
      </w:r>
    </w:p>
    <w:p w14:paraId="318548B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面具通常由黄杨木或大叶柳木制成，经过风干后雕刻、油漆、彩绘而成。这些面具表情丰富、夸张，表达了人物的性格和情绪，如角儿面形象夸张、令人悚然，通常被用来扮演鬼怪或惩恶扬善的角色，表现其凶猛、威严的形象。玉面比较细腻典雅，通常被用来扮演女性角色，如仙女和公主等，展现其柔美、清纯的气质。象头面常与民间神明的形象搭配使用，展现其神圣、庄严的形象，突显其虔诚超然的本质。漆黑面黝黯而厉害，边角棱角分明，多用来表现邪恶的反派角色，如手持铁链的恶魔等，展现其凶恶、残忍的形象。</w:t>
      </w:r>
    </w:p>
    <w:p w14:paraId="7EEBF86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（4）表演语言</w:t>
      </w:r>
    </w:p>
    <w:p w14:paraId="4B82217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池州傩表演过程中演员通过唱、念、做、打等表演手段，将故事情节和人物形象生动地展现出来，这种表演语言具有浓郁的地方特色和古朴粗犷的艺术风格，体现了傩戏的独特魅力和深厚底蕴，也是一种重要的语言形式。如演员通过唱来表达角色的情感和内心世界，同时也通过唱腔的变化来展现角色的性格特点和身份，池州傩唱腔通常高亢激昂、旋律优美，具有很强的感染力和震撼力。念白是池州傩戏中重要的表演手段之一，通过念白来交代故事情节、描绘人物形象、展现角色心理等，念白要求语言准确、韵律和谐，同时要具有生动的表现力和感染力。做功是池州傩戏中表演动作的总称，包括身段、手势、表情等多种表演形式，通过做功来展现角色的动作和体态，进一步塑造角色形象，同时也通过做功来展现故事情节和矛盾冲突。打功是池州傩戏中表演武术和打斗场面的总称，通过打功来展现角色的武艺和英勇形象，同时也通过打功来增强剧情的紧张感和刺激感。</w:t>
      </w:r>
    </w:p>
    <w:p w14:paraId="4BDB25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（三）现存形态与技艺流程</w:t>
      </w:r>
    </w:p>
    <w:p w14:paraId="7E35B7B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（1）表演形式</w:t>
      </w:r>
    </w:p>
    <w:p w14:paraId="56288A3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每年正月十五贵池区梅街镇刘街社区举办“青山庙会”进行傩戏非遗展示。过年期间梅街镇开展“池州傩朝社树”、傩戏协会傩戏演出、峡川游案、迎菩萨傩仪“送神”仪式活动；贵池区每年非遗展演积极展示傩戏等非遗项目。</w:t>
      </w:r>
    </w:p>
    <w:p w14:paraId="387510F7">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（2）工艺品制作工艺流程</w:t>
      </w:r>
    </w:p>
    <w:p w14:paraId="002835C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工艺品涉及很多，包括伞的制作、灯笼的制作这些都属于传统手工艺。傩里面大部分的东西都是纯民间的传统手工艺，但是在制作技艺类只有一个傩面具的雕刻工艺。</w:t>
      </w:r>
    </w:p>
    <w:p w14:paraId="6604F8B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池州傩戏面具一般使用柳木、樟木或白杨木制作，经打坯、雕琢、木锉、砂磨、蒸煮、髹漆、穿须、装金、开光等程序制成，外凸内凹，眼珠镂空，制作有“冠冕型”与“无冠冕型”之分，其风格古朴粗犷，雕刻细腻，造型夸张，形态兼备，惟妙惟肖；不同角色的面具造型不同，较为直观地表现出角色性格。面具根据人物性格特征所绘花纹及图形，鲜艳而五彩斑斓。</w:t>
      </w:r>
    </w:p>
    <w:p w14:paraId="58B765E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青阳雕刻师刘千祥所制傩面具，刀法娴熟、流畅，雕刻简洁、精细，结构严谨，造型注重写实，夸张有度，变形有法，色彩浓烈，斑斓绚丽，对比和谐。因受九华山佛文化影响，这些面具带有庙宇佛像色彩，大多慈眉善目，雍容福态，总体显得古朴、粗放、稚拙、神圣。傩面制坯是雕刻工作的开始，分粗雕和细雕两道工序。粗雕是按照坯料所描绘的人物五官头饰位置，雕成立体图形，以确定各部位的大小和具体形象，制作时有范本或图谱参照。细雕是将各部位进行认真刻画，有浅浮雕、深浮雕和镂空三种。刀法上凿、镂、剔、剜、划、挑、戳、刻、铲、钻、拓、削等。面具雕刻好以后，先用粗纱布打磨，再用细纱布精磨各细致部位。新雕成的面具要刷上底灰，这样既能防止油漆浸入木料中，又能增加色彩的鲜艳度。有些傩面具虽然看起来狰狞怪异，但眉目间流露出世俗化、人性化的气质。</w:t>
      </w:r>
    </w:p>
    <w:p w14:paraId="3A158DF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（3）傩仪</w:t>
      </w:r>
    </w:p>
    <w:p w14:paraId="37B4782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经过长期兼收并蓄，儒、释、道圣贤，菩萨和仙人，以及傩戏傩舞艺术中的人物诸神等都成为礼敬祭拜对象。人们在傩活动中，严格依照“祖制”，用香火、美味，用舞蹈、歌声和好听的语言，去取悦神灵，以祈求被礼敬祭拜的对象保佑人们现世平安吉祥、多子多孙、人寿年丰等夙愿的兑现。</w:t>
      </w:r>
    </w:p>
    <w:p w14:paraId="4F9D0870">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（4）傩舞</w:t>
      </w:r>
    </w:p>
    <w:p w14:paraId="0B3BC87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傩舞是源于巫舞与傩祭的结合。其发轫初衷是驱邪逐疫、祈求风调雨顺、祈盼平安吉祥，属仪式性舞蹈。这种自远古一路走来的傩舞，在历史长河里，虽然增强了悦神、娱人、祭祖的功能，但由于交通相对封闭，民风淳朴，傩舞基本上保持原生态的状态。傩舞情节比较简单，但内涵却很深刻。舞蹈语汇贫乏，舞姿（动作）稚拙粗犷，原始古朴。舞台调度（行动线路）也很简单，常为传统对称式和“舞四方”。</w:t>
      </w:r>
    </w:p>
    <w:p w14:paraId="0791771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（5）傩戏</w:t>
      </w:r>
    </w:p>
    <w:p w14:paraId="5835BDA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有唱有白，有完整故事情节的傩戏，称正戏或本戏。其剧本内容，一般取材于民间故事和民间传说。由于各宗族剧本不外传，师承也不同，故同名剧目的一些情节、文词和唱腔，在各宗族间也存有一定差异。即便是同宗族，共用着一堂面具，各房头的剧目文词和唱腔，也有所区别。目前，各傩戏会社扮演的正本傩戏剧目主要有《孟姜女》《章文显》和《刘文龙》（或称《和番记》）等。</w:t>
      </w:r>
    </w:p>
    <w:p w14:paraId="2939F5B9">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（6）音乐</w:t>
      </w:r>
    </w:p>
    <w:p w14:paraId="523FDA2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傩戏、傩舞音乐，包括声腔与伴奏锣鼓两部分。声腔分“傩腔”“高腔”两大类，为了有利于表达人物形象，刻画角色的思想感情，有独唱、同唱、接唱和后台帮腔等形式。其曲调既承衍了古南曲轻柔婉转的风格，也有类似北曲高亢激昂的特点。傩腔演唱的发声方式，采用本嗓（即真嗓），其旋律质朴流畅，腔调风格各异，丰富多彩。而高腔演唱的发声方式，则是以本嗓和小嗓（即假嗓）兼顾并用，曲调既高亢激昂，又委婉清新。</w:t>
      </w:r>
    </w:p>
    <w:p w14:paraId="1D4F69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（四）代表性传承人与团体</w:t>
      </w:r>
    </w:p>
    <w:p w14:paraId="379DE247">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（1）代表性传承人</w:t>
      </w:r>
    </w:p>
    <w:p w14:paraId="3502BDC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姚家伟，池州市贵池区梅街镇姚街村人，国家级非物质文化遗产代表性项目傩戏（池州傩戏）代表性传承人，入围2025年第三次“中国好人榜”候选人名单。用30余载的坚守，将濒临失传的池州傩戏从乡村祠堂推向国际舞台，让这门有着“戏曲活化石”美誉的古老艺术在新时代焕发勃勃生机。每年正月初七至十五，姚街村的傩事活动吸引着全村老少。而寒假归来的学子们主动加入排练，更让姚家伟看到了希望。他不仅在传习馆教学，还带着团队在茅坦中学开设兴趣班、走进安徽师范大学等高校。1995年，父亲将恢复傩事活动正式交给他，为了让傩戏传承下来，姚家伟开始抢救散落在民间的傩戏遗存。他不仅与老一辈艺人共同整理已有傩戏资料，还到各地搜集散佚的傩戏剧本。在他的不懈努力下，《山里姚》《殷村姚》等六部失传剧目重见天日。2005年，他应邀参加“中国南昌傩文化艺术周”，凭借精彩表演斩获“伞舞”金奖与“关公登殿”优秀节目奖。2008年，他远赴法国巴黎，在“原生态意象节”上亮相，其极具东方韵味的表演赢得国际友人和文艺界专家的一致赞誉。姚氏宗祠是池州傩戏传承的重要载体，这座始建于明嘉靖年间的徽派建筑，见证了傩戏的兴衰变迁。祠堂是砖木结构，防火是重中之重，姚家伟每天都要巡查祠堂内外，检查电线、清理易燃物，数十年从未间断。在他的精心守护下，姚氏宗祠保存完好，2012年被列为安徽省重点文物保护单位。2015年池州市启动非遗“名师带徒”工程，姚家伟主动请缨，担任傩艺培训班老师，参与了6批工程，从基础步法到复杂招式倾囊相授，先后带出方超、姚新祥、姚建祥等10余名徒弟。2019年，为庆祝新中国成立70周年，姚家伟在《五星会》基础上创作改编了新剧目《五星观伞》，不仅保留了傩戏的传统精髓，还赋予了它新的时代内涵。</w:t>
      </w:r>
    </w:p>
    <w:p w14:paraId="40B4D19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主要传承技艺特点：</w:t>
      </w:r>
      <w:r>
        <w:rPr>
          <w:rFonts w:hint="default" w:ascii="Times New Roman" w:hAnsi="Times New Roman" w:eastAsia="方正仿宋_GBK" w:cs="Times New Roman"/>
          <w:b w:val="0"/>
          <w:i w:val="0"/>
          <w:iCs w:val="0"/>
          <w:color w:val="auto"/>
          <w:kern w:val="0"/>
          <w:sz w:val="32"/>
          <w:szCs w:val="32"/>
          <w:u w:val="none"/>
          <w:lang w:val="en-US" w:eastAsia="zh-CN" w:bidi="ar"/>
        </w:rPr>
        <w:t>荡里姚氏傩仪全套流程；傩舞动作并以喊断（一边舞一边喊，也可以理解为在教学时且舞且喊）；《五星会》角色全部唱腔并演绎；关公角色；傩戏唱腔在《五星会》上用高腔，正月初七和正月十五日傩戏表演通常用傩腔。</w:t>
      </w:r>
    </w:p>
    <w:p w14:paraId="600E166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bCs/>
          <w:i w:val="0"/>
          <w:iCs w:val="0"/>
          <w:color w:val="auto"/>
          <w:kern w:val="0"/>
          <w:sz w:val="32"/>
          <w:szCs w:val="32"/>
          <w:u w:val="none"/>
          <w:lang w:val="en-US" w:eastAsia="zh-CN" w:bidi="ar"/>
        </w:rPr>
        <w:t>（2）团体</w:t>
      </w:r>
    </w:p>
    <w:p w14:paraId="506182B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池州市文化馆农民傩艺团是市文化馆领导下的民间组织，由18名左右的演职人员组成。傩艺团以弘扬傩文化为目的，旨在让热爱傩事活动、掌握一定技艺的年轻人聚在一起，相互学习，切磋技艺，排演节目，培养一支善傩舞、会傩戏的演出队伍。</w:t>
      </w:r>
    </w:p>
    <w:p w14:paraId="08E9F74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目前已整理出《刘文龙》《孟姜女》《章文选》《陈州放粮》四本傩戏剧本，其中《刘文龙》《孟姜女》已进行排练，并在各级平台展演展示。</w:t>
      </w:r>
    </w:p>
    <w:p w14:paraId="3C2BF8E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三、当前开发与传播状况</w:t>
      </w:r>
    </w:p>
    <w:p w14:paraId="18A58B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（一）部分现有文创产品/衍生品</w:t>
      </w:r>
    </w:p>
    <w:p w14:paraId="70A017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傩面具、抱枕、杯子、雨伞、冰箱贴摆台（可组成小夜灯）、丝巾、钥匙扣、香片、鼠标垫、吧唧、杯垫、镜子、拼图、本子、皮卡包、帆布包、明信片、硬卡包、展示台、笔、桌游卡牌等，前期投入太大，尚未形成规模效应，单个产品成本比较高；销售渠道主要依托景区进行销售，景区需要参与产品销售分成，进一步提高了产品的售价，此外傩面具等元素比较神秘威严，与现代审美存在一定差异，部分游客难以接受。</w:t>
      </w:r>
    </w:p>
    <w:p w14:paraId="501CEE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（二）当前的传播与展示渠道</w:t>
      </w:r>
    </w:p>
    <w:p w14:paraId="298D13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在傩仙镇景区展示和售卖；在池州学院和区文旅局合作成立的展示专区长期展览；各方媒体宣传报道傩文化文创产品。</w:t>
      </w:r>
    </w:p>
    <w:p w14:paraId="2106BD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（三）目标受众认知度</w:t>
      </w:r>
    </w:p>
    <w:p w14:paraId="590921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以外地80后90后游客为主，产品知名度不高，能够彰显个性化，满足游客祈福、辟邪等多样化需求。</w:t>
      </w:r>
    </w:p>
    <w:p w14:paraId="0BA4726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四、设计方向与商业化痛点</w:t>
      </w:r>
    </w:p>
    <w:p w14:paraId="32529C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（一）希望突破的设计瓶颈</w:t>
      </w:r>
    </w:p>
    <w:p w14:paraId="620A2D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文化符号转化生硬，神秘威严的傩面具等元素与现代审美存在隔阂，易显怪异；内涵阐释不足，其背后的祈福驱疫等文化内核难以被大众直观理解。</w:t>
      </w:r>
    </w:p>
    <w:p w14:paraId="727A12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（二）希望拓展的产品品类</w:t>
      </w:r>
    </w:p>
    <w:p w14:paraId="16EB7D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围绕本地特色旅游商品（西山焦枣、霄坑绿茶、润思红茶、秋浦花鳜等）开发伴手礼、傩元素的吉祥物、家居用品、汽车挂饰类、潮牌服饰、玩具，以及其他旅游商品品类。</w:t>
      </w:r>
    </w:p>
    <w:p w14:paraId="605188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（三）商业化面临的主要障碍</w:t>
      </w:r>
    </w:p>
    <w:p w14:paraId="4B9008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产品同质化严重，多停留在面具、挂件等载体，缺乏深度和实用创新；目标客群偏小众，市场培育与成本控制面临挑战；销售渠道较为单一，产品规模难以突破。</w:t>
      </w:r>
    </w:p>
    <w:p w14:paraId="3F7CB4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（四）对IP化开发的构想</w:t>
      </w:r>
    </w:p>
    <w:p w14:paraId="16A520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围绕辟邪、祈福、驱疫等傩文化内涵，设计具有辨识度的IP，角色故事突出社区认同、规范伦理道德、传承历史文化内涵，表达人类对美好生活的向往。</w:t>
      </w:r>
    </w:p>
    <w:p w14:paraId="3F58EAB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五、未来发展愿景</w:t>
      </w:r>
    </w:p>
    <w:p w14:paraId="07322F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（一）期望引入的新业态/新体验</w:t>
      </w:r>
    </w:p>
    <w:p w14:paraId="7B1C93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围绕池州傩元素打造的特色民宿、实景演绎项目、研学课程等。</w:t>
      </w:r>
    </w:p>
    <w:p w14:paraId="7D4418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（二）希望塑造的新形象/新标签</w:t>
      </w:r>
    </w:p>
    <w:p w14:paraId="67DE34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个性化、有品位、有文化内涵的旅游商品。</w:t>
      </w:r>
    </w:p>
    <w:p w14:paraId="593CC1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（三）可提供的合作条件</w:t>
      </w:r>
    </w:p>
    <w:p w14:paraId="2A0E97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i w:val="0"/>
          <w:iCs w:val="0"/>
          <w:color w:val="auto"/>
          <w:kern w:val="0"/>
          <w:sz w:val="32"/>
          <w:szCs w:val="32"/>
          <w:u w:val="none"/>
          <w:lang w:val="en-US" w:eastAsia="zh-CN" w:bidi="ar"/>
        </w:rPr>
        <w:t>推动与九华天池傩仙镇、秀山门博物馆等景区开展合作，提供产品销售渠道，推动具有市场开发潜力产品与相关企业进行商业合作。</w:t>
      </w:r>
    </w:p>
    <w:p w14:paraId="7B10DE18">
      <w:pPr>
        <w:pageBreakBefore w:val="0"/>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sectPr>
          <w:pgSz w:w="11906" w:h="16838"/>
          <w:pgMar w:top="1440" w:right="1800" w:bottom="1440" w:left="1800" w:header="851" w:footer="992" w:gutter="0"/>
          <w:cols w:space="425" w:num="1"/>
          <w:docGrid w:type="lines" w:linePitch="312" w:charSpace="0"/>
        </w:sectPr>
      </w:pPr>
    </w:p>
    <w:p w14:paraId="07F5A06D">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简体" w:cs="Times New Roman"/>
          <w:color w:val="auto"/>
          <w:sz w:val="32"/>
          <w:szCs w:val="32"/>
          <w:lang w:val="en-US" w:eastAsia="zh-CN"/>
        </w:rPr>
      </w:pPr>
      <w:r>
        <w:rPr>
          <w:rFonts w:hint="default" w:ascii="Times New Roman" w:hAnsi="Times New Roman" w:eastAsia="方正小标宋简体" w:cs="Times New Roman"/>
          <w:color w:val="auto"/>
          <w:sz w:val="32"/>
          <w:szCs w:val="32"/>
          <w:lang w:val="en-US" w:eastAsia="zh-CN"/>
        </w:rPr>
        <w:t>东至花灯</w:t>
      </w:r>
    </w:p>
    <w:p w14:paraId="4E178E43">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简体" w:cs="Times New Roman"/>
          <w:color w:val="auto"/>
          <w:sz w:val="32"/>
          <w:szCs w:val="32"/>
          <w:lang w:val="en-US" w:eastAsia="zh-CN"/>
        </w:rPr>
      </w:pPr>
    </w:p>
    <w:p w14:paraId="25C897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一、</w:t>
      </w:r>
      <w:r>
        <w:rPr>
          <w:rFonts w:hint="default" w:ascii="Times New Roman" w:hAnsi="Times New Roman" w:eastAsia="方正黑体_GBK" w:cs="Times New Roman"/>
          <w:b w:val="0"/>
          <w:bCs w:val="0"/>
          <w:i w:val="0"/>
          <w:iCs w:val="0"/>
          <w:color w:val="auto"/>
          <w:kern w:val="0"/>
          <w:sz w:val="32"/>
          <w:szCs w:val="32"/>
          <w:u w:val="none"/>
          <w:lang w:val="en-US" w:eastAsia="zh-CN" w:bidi="ar"/>
        </w:rPr>
        <w:t>基础信息</w:t>
      </w:r>
    </w:p>
    <w:p w14:paraId="792644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管理/权属单位</w:t>
      </w:r>
    </w:p>
    <w:p w14:paraId="7CFB1C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东至县文化和旅游局</w:t>
      </w:r>
    </w:p>
    <w:p w14:paraId="62BC6D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对接联系人</w:t>
      </w:r>
    </w:p>
    <w:p w14:paraId="2DAC4FE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姓名：姜校维</w:t>
      </w:r>
    </w:p>
    <w:p w14:paraId="27FEC76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电话：19554916365</w:t>
      </w:r>
    </w:p>
    <w:p w14:paraId="49FCD5C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二、文化元素深度解读</w:t>
      </w:r>
    </w:p>
    <w:p w14:paraId="2B7DDA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（一）历史渊源与传说故事</w:t>
      </w:r>
    </w:p>
    <w:p w14:paraId="561D1E3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东至花灯舞主要有六兽灯、磨盘灯、八仙过海灯、五猖太平灯、龙灯、狮子灯、蚌壳灯、旱船等十多种，形式各异，渊源亦不尽相同，有本乡本土的，亦有异地而来的，其内在寓意与展现方式各具特色。</w:t>
      </w:r>
    </w:p>
    <w:p w14:paraId="4B4EBD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（二）文化符号与象征意义</w:t>
      </w:r>
    </w:p>
    <w:p w14:paraId="00CEFEA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东至花灯舞是一种民俗活动，也是一种综合的表演形式，包含了民间文学、传统音乐、传统舞蹈、传统戏剧、传统美术、传统手工艺等多种文化元素，这些文化元素是多民族、多地区共享的文化符号。</w:t>
      </w:r>
    </w:p>
    <w:p w14:paraId="1ACAC9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（三）代表性传承人与团体</w:t>
      </w:r>
    </w:p>
    <w:p w14:paraId="379C2BF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东至花灯舞拥有完善的非遗传承人体系，共14位代表性传承人（含国家级1名、省级5名等），为其活态传承提供了核心保障。其中，代表性灯种“六兽灯”由国家级传承人黄杰海所秉承，其技艺体系完备。制作上以传统竹编工艺为核心，舞蹈风格则讲究“沉、稳、活”三字诀，步伐沉稳且动态鲜活，是集仪式性与观赏性于一体的民俗舞蹈。此外，诸如磨盘灯、八仙过海灯、五猖太平灯等主要灯种亦各有省级代表性传承人，共同构成了东至花灯舞丰富多元的灯舞体系。</w:t>
      </w:r>
    </w:p>
    <w:p w14:paraId="772679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三、</w:t>
      </w:r>
      <w:r>
        <w:rPr>
          <w:rFonts w:hint="default" w:ascii="Times New Roman" w:hAnsi="Times New Roman" w:eastAsia="方正黑体_GBK" w:cs="Times New Roman"/>
          <w:b w:val="0"/>
          <w:bCs w:val="0"/>
          <w:i w:val="0"/>
          <w:iCs w:val="0"/>
          <w:color w:val="auto"/>
          <w:kern w:val="0"/>
          <w:sz w:val="32"/>
          <w:szCs w:val="32"/>
          <w:u w:val="none"/>
          <w:lang w:val="en-US" w:eastAsia="zh-CN" w:bidi="ar"/>
        </w:rPr>
        <w:t>当前开发与传播状况</w:t>
      </w:r>
    </w:p>
    <w:p w14:paraId="7E0F2BC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部分现有文创产品/衍生品</w:t>
      </w:r>
    </w:p>
    <w:p w14:paraId="3723B7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东至花灯舞的文创开发正从“符号化”走向“系列化”。以“六兽灯”为原型，在早期开发的“六兽袜子”基础上，今年又推出了冰箱贴、抱枕等全新产品线，并计划入驻东流老街文创店进行集中展售，初步形成了品牌产品矩阵。</w:t>
      </w:r>
    </w:p>
    <w:p w14:paraId="040FE0D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当前的传播与展示渠道</w:t>
      </w:r>
    </w:p>
    <w:p w14:paraId="4B25E3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已构建“节庆活化+校园传承+媒体放大”的多元渠道。在“五一”“十一”等关键节点，在东流老街常态化举办花灯巡游；以“文化和自然遗产日”，通过“非遗进校园”、与池州学院共建黄杰海“非遗大师工作室”等形式，实现从知识普及到技艺传承的深度耕耘。</w:t>
      </w:r>
    </w:p>
    <w:p w14:paraId="5CC29C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（三）目标受众认知度</w:t>
      </w:r>
    </w:p>
    <w:p w14:paraId="06184B9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东至花灯舞的认知度正快速提升，且在目标群体中呈现差异。通过“非遗进校园”及学生亲身参与，其文化认同感显著增强。外地游客通过“五一”“十一”东流老街的节庆巡游与文创消费，初步建立“东至特色名片”的积极印象，但深层文化认知仍需培育。</w:t>
      </w:r>
    </w:p>
    <w:p w14:paraId="06C5247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四、设计方向与商业化痛点</w:t>
      </w:r>
    </w:p>
    <w:p w14:paraId="6586A2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（一）希望突破的设计瓶颈</w:t>
      </w:r>
    </w:p>
    <w:p w14:paraId="3C3D21B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形象表达断层：现有文创多聚焦花灯整体造型复刻（如六兽灯摆件），但对“沉、稳、活”舞蹈精髓、非遗技艺中的竹编纹理、灯彩配色等核心细节挖掘不足，导致产品辨识度弱，难以与普通民俗文创形成差异。</w:t>
      </w:r>
    </w:p>
    <w:p w14:paraId="7CF7294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场景适配性低：设计未充分考虑现代生活场景需求，例如传统花灯造型复杂，无法转化为便携饰品、桌面装饰等高频使用物品；色彩以传统大红大绿为主，与年轻群体偏好的极简风、莫兰迪色系脱节，难以融入日常家居或穿搭场景。</w:t>
      </w:r>
    </w:p>
    <w:p w14:paraId="7603F01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互动体验缺失：现有产品多为静态摆件（如冰箱贴、抱枕），未结合花灯“表演性”特质开发互动类设计，如可拼装的迷你六兽灯模型、能投影花灯纹样的小夜灯等，无法让消费者深度感受非遗魅力。</w:t>
      </w:r>
    </w:p>
    <w:p w14:paraId="3A00E6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（二）希望拓展的产品品类</w:t>
      </w:r>
    </w:p>
    <w:p w14:paraId="5D3F2AE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潮流生活类：推出“东至花灯纹样”系列潮品，如印有水墨风六兽灯图案的卫衣、竹编纹理的帆布包、镶嵌迷你灯珠的发簪/耳饰，兼顾时尚感与文化辨识度。</w:t>
      </w:r>
    </w:p>
    <w:p w14:paraId="3027227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数字文创类：开发虚拟文创产品，如基于花灯故事的数字藏品（如“六兽灯祥瑞系列”NFT）、可用于社交平台的动态表情包（如“八仙灯拜年”“五猖灯祈福”），触达年轻数字用户群体。</w:t>
      </w:r>
    </w:p>
    <w:p w14:paraId="119AAA9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亲子互动类：设计非遗手工研学套装，包含简易竹编材料包（复刻六兽灯骨架）、可涂色的灯面贴纸，搭配线上教学视频，让家长与孩子共同体验花灯制作，兼具教育性与趣味性。</w:t>
      </w:r>
    </w:p>
    <w:p w14:paraId="3A13D07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高端伴手礼类：打造轻奢礼盒，如将花灯纹样融入瓷器（茶杯、摆件）、结合传统刺绣工艺的丝巾，搭配非遗传承人签名卡片，满足商务馈赠、高端旅游纪念需求。</w:t>
      </w:r>
    </w:p>
    <w:p w14:paraId="4C697D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（三）商业化面临的主要障碍</w:t>
      </w:r>
    </w:p>
    <w:p w14:paraId="2AECF99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供应链不成熟：核心技艺依赖手工（如竹编、传统灯彩制作），难以规模化生产；本地缺乏专业文创生产厂家，需跨区域对接供应商，导致生产周期长（约2-3个月）、成本高（手工制品单价较机器生产高30%-50%），难以控制定价与库存。</w:t>
      </w:r>
    </w:p>
    <w:p w14:paraId="6418BBC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版权保护薄弱：花灯纹样、造型等文化元素易被抄袭，且目前缺乏明确的版权登记与维权机制。</w:t>
      </w:r>
    </w:p>
    <w:p w14:paraId="518902E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渠道覆盖有限：销售高度依赖线下（如东流老街文创店、景区门店），线上仅通过本地文旅公众号零星售卖，未入驻淘宝、抖音等主流电商平台，且缺乏专业运营团队。</w:t>
      </w:r>
    </w:p>
    <w:p w14:paraId="21045DF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五、未来发展愿景</w:t>
      </w:r>
    </w:p>
    <w:p w14:paraId="318E36E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目前，官港镇新溪村正在建设东至花灯-六兽灯研学基地。我们的愿景是将其打造为一个“可游可感的非遗生活场”，未来不仅限于教学，更将引入主题民宿，让游客住进风景里、走入故事中。为此，我们开放合作，并提供场地、资金与政策等多维度支持，诚邀各界伙伴共绘蓝图。</w:t>
      </w:r>
    </w:p>
    <w:p w14:paraId="102E23DF">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_GBK" w:cs="Times New Roman"/>
          <w:b w:val="0"/>
          <w:bCs w:val="0"/>
          <w:color w:val="auto"/>
          <w:sz w:val="44"/>
          <w:szCs w:val="44"/>
          <w:lang w:val="en-US" w:eastAsia="zh-CN"/>
        </w:rPr>
      </w:pPr>
    </w:p>
    <w:p w14:paraId="3BA51183">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default" w:ascii="Times New Roman" w:hAnsi="Times New Roman" w:eastAsia="方正小标宋_GBK" w:cs="Times New Roman"/>
          <w:b w:val="0"/>
          <w:bCs w:val="0"/>
          <w:color w:val="auto"/>
          <w:sz w:val="32"/>
          <w:szCs w:val="32"/>
          <w:lang w:val="en-US" w:eastAsia="zh-CN"/>
        </w:rPr>
        <w:sectPr>
          <w:pgSz w:w="11906" w:h="16838"/>
          <w:pgMar w:top="1440" w:right="1800" w:bottom="1440" w:left="1800" w:header="851" w:footer="992" w:gutter="0"/>
          <w:cols w:space="425" w:num="1"/>
          <w:docGrid w:type="lines" w:linePitch="312" w:charSpace="0"/>
        </w:sectPr>
      </w:pPr>
    </w:p>
    <w:p w14:paraId="5AE170C0">
      <w:pPr>
        <w:pStyle w:val="3"/>
        <w:pageBreakBefore w:val="0"/>
        <w:kinsoku/>
        <w:wordWrap/>
        <w:overflowPunct/>
        <w:topLinePunct w:val="0"/>
        <w:autoSpaceDE/>
        <w:autoSpaceDN/>
        <w:bidi w:val="0"/>
        <w:adjustRightInd/>
        <w:snapToGrid/>
        <w:spacing w:before="0" w:after="0" w:line="560" w:lineRule="exact"/>
        <w:ind w:left="0" w:leftChars="0"/>
        <w:jc w:val="center"/>
        <w:textAlignment w:val="auto"/>
        <w:rPr>
          <w:rFonts w:hint="default" w:ascii="Times New Roman" w:hAnsi="Times New Roman" w:eastAsia="方正小标宋_GBK" w:cs="Times New Roman"/>
          <w:b w:val="0"/>
          <w:bCs w:val="0"/>
          <w:color w:val="auto"/>
          <w:kern w:val="2"/>
          <w:sz w:val="32"/>
          <w:szCs w:val="32"/>
          <w:lang w:val="en-US" w:eastAsia="zh-CN" w:bidi="ar-SA"/>
        </w:rPr>
      </w:pPr>
      <w:r>
        <w:rPr>
          <w:rFonts w:hint="default" w:ascii="Times New Roman" w:hAnsi="Times New Roman" w:eastAsia="方正小标宋_GBK" w:cs="Times New Roman"/>
          <w:b w:val="0"/>
          <w:bCs w:val="0"/>
          <w:color w:val="auto"/>
          <w:sz w:val="32"/>
          <w:szCs w:val="32"/>
          <w:lang w:val="en-US" w:eastAsia="zh-CN"/>
        </w:rPr>
        <w:t>石台县</w:t>
      </w:r>
      <w:r>
        <w:rPr>
          <w:rFonts w:hint="default" w:ascii="Times New Roman" w:hAnsi="Times New Roman" w:eastAsia="方正小标宋_GBK" w:cs="Times New Roman"/>
          <w:b w:val="0"/>
          <w:bCs w:val="0"/>
          <w:color w:val="auto"/>
          <w:kern w:val="2"/>
          <w:sz w:val="32"/>
          <w:szCs w:val="32"/>
          <w:lang w:val="en-US" w:eastAsia="zh-CN" w:bidi="ar-SA"/>
        </w:rPr>
        <w:t>硒文化</w:t>
      </w:r>
    </w:p>
    <w:p w14:paraId="6B780E92">
      <w:pPr>
        <w:rPr>
          <w:rFonts w:hint="default" w:ascii="Times New Roman" w:hAnsi="Times New Roman" w:eastAsia="仿宋_GB2312" w:cs="Times New Roman"/>
          <w:lang w:val="en-US" w:eastAsia="zh-CN"/>
        </w:rPr>
      </w:pPr>
    </w:p>
    <w:p w14:paraId="1EDB2F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一、</w:t>
      </w:r>
      <w:r>
        <w:rPr>
          <w:rFonts w:hint="default" w:ascii="Times New Roman" w:hAnsi="Times New Roman" w:eastAsia="方正黑体_GBK" w:cs="Times New Roman"/>
          <w:b w:val="0"/>
          <w:bCs w:val="0"/>
          <w:i w:val="0"/>
          <w:iCs w:val="0"/>
          <w:color w:val="auto"/>
          <w:kern w:val="0"/>
          <w:sz w:val="32"/>
          <w:szCs w:val="32"/>
          <w:u w:val="none"/>
          <w:lang w:val="en-US" w:eastAsia="zh-CN" w:bidi="ar"/>
        </w:rPr>
        <w:t>基础信息</w:t>
      </w:r>
    </w:p>
    <w:p w14:paraId="438618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方正楷体_GBK" w:cs="Times New Roman"/>
          <w:b/>
          <w:bCs/>
          <w:i w:val="0"/>
          <w:iCs w:val="0"/>
          <w:color w:val="auto"/>
          <w:kern w:val="0"/>
          <w:sz w:val="32"/>
          <w:szCs w:val="32"/>
          <w:lang w:val="en-US" w:eastAsia="zh-CN" w:bidi="ar"/>
        </w:rPr>
      </w:pPr>
      <w:r>
        <w:rPr>
          <w:rFonts w:hint="default" w:ascii="Times New Roman" w:hAnsi="Times New Roman" w:eastAsia="方正楷体_GBK" w:cs="Times New Roman"/>
          <w:b/>
          <w:bCs/>
          <w:i w:val="0"/>
          <w:iCs w:val="0"/>
          <w:color w:val="auto"/>
          <w:kern w:val="0"/>
          <w:sz w:val="32"/>
          <w:szCs w:val="32"/>
          <w:lang w:val="en-US" w:eastAsia="zh-CN" w:bidi="ar"/>
        </w:rPr>
        <w:t>管理/权属单位</w:t>
      </w:r>
    </w:p>
    <w:p w14:paraId="374063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石台县文化和旅游局</w:t>
      </w:r>
    </w:p>
    <w:p w14:paraId="14768A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方正楷体_GBK" w:cs="Times New Roman"/>
          <w:b/>
          <w:bCs/>
          <w:i w:val="0"/>
          <w:iCs w:val="0"/>
          <w:color w:val="auto"/>
          <w:kern w:val="0"/>
          <w:sz w:val="32"/>
          <w:szCs w:val="32"/>
          <w:lang w:val="en-US" w:eastAsia="zh-CN" w:bidi="ar"/>
        </w:rPr>
      </w:pPr>
      <w:r>
        <w:rPr>
          <w:rFonts w:hint="default" w:ascii="Times New Roman" w:hAnsi="Times New Roman" w:eastAsia="方正楷体_GBK" w:cs="Times New Roman"/>
          <w:b/>
          <w:bCs/>
          <w:i w:val="0"/>
          <w:iCs w:val="0"/>
          <w:color w:val="auto"/>
          <w:kern w:val="0"/>
          <w:sz w:val="32"/>
          <w:szCs w:val="32"/>
          <w:lang w:val="en-US" w:eastAsia="zh-CN" w:bidi="ar"/>
        </w:rPr>
        <w:t>对接联系人</w:t>
      </w:r>
    </w:p>
    <w:p w14:paraId="5C3B72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职务：石台县文化和旅游局党组成员</w:t>
      </w:r>
    </w:p>
    <w:p w14:paraId="434CCB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姓名：章华</w:t>
      </w:r>
    </w:p>
    <w:p w14:paraId="0C6BDB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电话：18656610955</w:t>
      </w:r>
    </w:p>
    <w:p w14:paraId="4048C3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黑体_GBK" w:cs="Times New Roman"/>
          <w:b w:val="0"/>
          <w:bCs w:val="0"/>
          <w:i w:val="0"/>
          <w:iCs w:val="0"/>
          <w:color w:val="auto"/>
          <w:kern w:val="0"/>
          <w:sz w:val="32"/>
          <w:szCs w:val="32"/>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二、文化元素深度解读</w:t>
      </w:r>
    </w:p>
    <w:p w14:paraId="6DA74B03">
      <w:pPr>
        <w:pageBreakBefore w:val="0"/>
        <w:shd w:val="clear" w:color="auto" w:fill="auto"/>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bidi="ar"/>
        </w:rPr>
      </w:pPr>
      <w:r>
        <w:rPr>
          <w:rFonts w:hint="default" w:ascii="Times New Roman" w:hAnsi="Times New Roman" w:eastAsia="方正仿宋_GBK" w:cs="Times New Roman"/>
          <w:b w:val="0"/>
          <w:bCs w:val="0"/>
          <w:i w:val="0"/>
          <w:iCs w:val="0"/>
          <w:color w:val="auto"/>
          <w:kern w:val="0"/>
          <w:sz w:val="32"/>
          <w:szCs w:val="32"/>
          <w:u w:val="none"/>
          <w:lang w:bidi="ar"/>
        </w:rPr>
        <w:t>石台县地处皖南山区，全县99%的国土富含硒元素，是全国三大天然富硒区之一。独特的地质土壤条件孕育了当地丰富的富硒资源，被誉为“中国生态硒都”。硒文化项目依托这一资源禀赋，主要分布于石台县境内的富硒村镇和相关产业基地。地理空间上，石台县山峦起伏，森林覆盖率达84.5%，空气中负氧离子含量高，生态环境优越。富硒土壤广泛分布于全县耕地、茶园和山林中，孕育了富硒茶、富硒米、富硒水等特色农产品。硒文化项目的空间载体多样，包括：县城的硒文化展示场馆、富硒农业产业园、富硒村旅游点以及相关企业生产基地等。例如，位于县城的“中国生态硒都会客厅”是一个集展览、体验于一体的硒文化展示中心，紧邻石台客运总站，建筑面积约2000平方米，交通便利。在乡村，如仙寓山镇大山村、大演乡剡溪村等地，富硒资源与优美山水融合，形成了“富硒村落”的独特空间环境，山清水秀、空气清新，非常适宜开展硒文化体验和康养度假活动。整体而言，硒文化项目的空间特征体现为“点面结合”：既有集中展示硒文化的场馆节点，又广泛分布于田间地头、茶园村落，形成全域富硒的空间格局。</w:t>
      </w:r>
    </w:p>
    <w:p w14:paraId="4FBDACD7">
      <w:pPr>
        <w:pageBreakBefore w:val="0"/>
        <w:shd w:val="clear" w:color="auto" w:fill="auto"/>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sz w:val="32"/>
          <w:szCs w:val="32"/>
        </w:rPr>
      </w:pPr>
      <w:r>
        <w:rPr>
          <w:rFonts w:hint="default" w:ascii="Times New Roman" w:hAnsi="Times New Roman" w:eastAsia="方正仿宋_GBK" w:cs="Times New Roman"/>
          <w:b w:val="0"/>
          <w:bCs w:val="0"/>
          <w:i w:val="0"/>
          <w:iCs w:val="0"/>
          <w:color w:val="auto"/>
          <w:kern w:val="0"/>
          <w:sz w:val="32"/>
          <w:szCs w:val="32"/>
          <w:u w:val="none"/>
          <w:lang w:bidi="ar"/>
        </w:rPr>
        <w:t>石台县硒文化项目的核心资源在于其“富硒+生态”的独特组合。一方面，石台拥有天然富硒土壤，富硒区面积达862平方公里，占全县面积70%，土壤硒含量均值达0.556mg/kg，是全国平均水平的近两倍。如此高比例、高含量的富硒土地在国内十分罕见，为发展硒产业和硒文化提供了先天条件。另一方面，石台县生态环境绝佳，全县森林覆盖率和水质、空气质量指标均位居全省前列，是首批国家“天然氧吧”之一。优良的生态为富硒农产品的生长提供了保障，也契合当下人们追求健康养生的潮流。硒文化项目的亮点在于将硒资源与地域文化、健康养生有机融合：</w:t>
      </w:r>
      <w:r>
        <w:rPr>
          <w:rFonts w:hint="default" w:ascii="Times New Roman" w:hAnsi="Times New Roman" w:eastAsia="方正仿宋_GBK" w:cs="Times New Roman"/>
          <w:b w:val="0"/>
          <w:bCs w:val="0"/>
          <w:i w:val="0"/>
          <w:iCs w:val="0"/>
          <w:color w:val="auto"/>
          <w:kern w:val="0"/>
          <w:sz w:val="32"/>
          <w:szCs w:val="32"/>
          <w:u w:val="none"/>
          <w:lang w:val="en-US" w:eastAsia="zh-CN" w:bidi="ar"/>
        </w:rPr>
        <w:t>首先，</w:t>
      </w:r>
      <w:r>
        <w:rPr>
          <w:rFonts w:hint="default" w:ascii="Times New Roman" w:hAnsi="Times New Roman" w:eastAsia="方正仿宋_GBK" w:cs="Times New Roman"/>
          <w:b w:val="0"/>
          <w:bCs w:val="0"/>
          <w:i w:val="0"/>
          <w:iCs w:val="0"/>
          <w:color w:val="auto"/>
          <w:kern w:val="0"/>
          <w:sz w:val="32"/>
          <w:szCs w:val="32"/>
          <w:u w:val="none"/>
          <w:lang w:bidi="ar"/>
        </w:rPr>
        <w:t>石台县已开发出八大类100多种富硒产品，包括硒茶、硒米、硒泉水、硒食用菌、富硒畜禽产品等，形成了完整的富硒产业链。这些产品不仅营养丰富，更承载着石台的农耕文化和传统技艺，如手工制茶、古法榨油等，可作为文化体验内容。其次，石台积极打造硒文化品牌，2022年成功创建“中国生态硒都”“中国有机硒谷”品牌，并实施“石台硒品”公用品牌建设工程，推出石台硒茶、硒米、硒泉、硒餐等子品牌。通过标准化生产和品牌化运营，“石台硒品”知名度不断提升，其中“石台富硒茶”被认定为国家地理标志保护产品，2024年品牌价值达14.65亿元。下图直观展示了石台县硒产业的核心构成与品牌价值。</w:t>
      </w:r>
    </w:p>
    <w:p w14:paraId="68925A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黑体_GBK" w:cs="Times New Roman"/>
          <w:b w:val="0"/>
          <w:bCs w:val="0"/>
          <w:i w:val="0"/>
          <w:iCs w:val="0"/>
          <w:color w:val="auto"/>
          <w:kern w:val="0"/>
          <w:sz w:val="32"/>
          <w:szCs w:val="32"/>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三、当前开发与传播状况</w:t>
      </w:r>
    </w:p>
    <w:p w14:paraId="4C673345">
      <w:pPr>
        <w:pageBreakBefore w:val="0"/>
        <w:shd w:val="clear" w:color="auto" w:fill="auto"/>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bidi="ar"/>
        </w:rPr>
        <w:t>政府层面，成立了县硒产业发展领导小组和硒产业办公室，统筹硒产业和硒文化旅游的发展规划、政策制定和资金支持。同时，出台了《石台县富硒产业高质量发展三年行动方案（2023</w:t>
      </w:r>
      <w:r>
        <w:rPr>
          <w:rFonts w:hint="default" w:ascii="Times New Roman" w:hAnsi="Times New Roman" w:eastAsia="方正仿宋_GBK" w:cs="Times New Roman"/>
          <w:b w:val="0"/>
          <w:bCs w:val="0"/>
          <w:i w:val="0"/>
          <w:iCs w:val="0"/>
          <w:color w:val="auto"/>
          <w:kern w:val="0"/>
          <w:sz w:val="32"/>
          <w:szCs w:val="32"/>
          <w:u w:val="none"/>
          <w:lang w:val="en-US" w:eastAsia="zh-CN" w:bidi="ar"/>
        </w:rPr>
        <w:t>-</w:t>
      </w:r>
      <w:r>
        <w:rPr>
          <w:rFonts w:hint="default" w:ascii="Times New Roman" w:hAnsi="Times New Roman" w:eastAsia="方正仿宋_GBK" w:cs="Times New Roman"/>
          <w:b w:val="0"/>
          <w:bCs w:val="0"/>
          <w:i w:val="0"/>
          <w:iCs w:val="0"/>
          <w:color w:val="auto"/>
          <w:kern w:val="0"/>
          <w:sz w:val="32"/>
          <w:szCs w:val="32"/>
          <w:u w:val="none"/>
          <w:lang w:bidi="ar"/>
        </w:rPr>
        <w:t>2025年）》等文件，明确发展目标和举措。在具体运营上，以企业和合作社为主体：培育了一批硒产业龙头企业，如安徽天方茶业、石台硒泰富硒山泉公司等，负责富硒农产品的生产、加工和销售。截至目前，全县已培育硒产业经营主体220余家，其中从事富硒产品生产、加工和流通的企业有63家。这些企业通过“公司+基地+农户”的模式，带动当地农民参与富硒产业，形成利益联结机制。</w:t>
      </w:r>
      <w:r>
        <w:rPr>
          <w:rFonts w:hint="default" w:ascii="Times New Roman" w:hAnsi="Times New Roman" w:eastAsia="方正仿宋_GBK" w:cs="Times New Roman"/>
          <w:b w:val="0"/>
          <w:bCs w:val="0"/>
          <w:i w:val="0"/>
          <w:iCs w:val="0"/>
          <w:color w:val="auto"/>
          <w:kern w:val="0"/>
          <w:sz w:val="32"/>
          <w:szCs w:val="32"/>
          <w:u w:val="none"/>
          <w:lang w:val="en-US" w:eastAsia="zh-CN" w:bidi="ar"/>
        </w:rPr>
        <w:t>目前关于硒文化的文创产品很少。</w:t>
      </w:r>
    </w:p>
    <w:p w14:paraId="4E71C7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黑体_GBK" w:cs="Times New Roman"/>
          <w:b w:val="0"/>
          <w:bCs w:val="0"/>
          <w:i w:val="0"/>
          <w:iCs w:val="0"/>
          <w:color w:val="auto"/>
          <w:kern w:val="0"/>
          <w:sz w:val="32"/>
          <w:szCs w:val="32"/>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四、设计方向与商业化痛点</w:t>
      </w:r>
    </w:p>
    <w:p w14:paraId="1B2493FF">
      <w:pPr>
        <w:pageBreakBefore w:val="0"/>
        <w:shd w:val="clear" w:color="auto" w:fill="auto"/>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bidi="ar"/>
        </w:rPr>
      </w:pPr>
      <w:r>
        <w:rPr>
          <w:rFonts w:hint="default" w:ascii="Times New Roman" w:hAnsi="Times New Roman" w:eastAsia="方正楷体_GBK" w:cs="Times New Roman"/>
          <w:b/>
          <w:bCs/>
          <w:i w:val="0"/>
          <w:iCs w:val="0"/>
          <w:color w:val="auto"/>
          <w:kern w:val="0"/>
          <w:sz w:val="32"/>
          <w:szCs w:val="32"/>
          <w:u w:val="none"/>
          <w:lang w:eastAsia="zh-CN" w:bidi="ar"/>
        </w:rPr>
        <w:t>（</w:t>
      </w:r>
      <w:r>
        <w:rPr>
          <w:rFonts w:hint="default" w:ascii="Times New Roman" w:hAnsi="Times New Roman" w:eastAsia="方正楷体_GBK" w:cs="Times New Roman"/>
          <w:b/>
          <w:bCs/>
          <w:i w:val="0"/>
          <w:iCs w:val="0"/>
          <w:color w:val="auto"/>
          <w:kern w:val="0"/>
          <w:sz w:val="32"/>
          <w:szCs w:val="32"/>
          <w:u w:val="none"/>
          <w:lang w:val="en-US" w:eastAsia="zh-CN" w:bidi="ar"/>
        </w:rPr>
        <w:t>一</w:t>
      </w:r>
      <w:r>
        <w:rPr>
          <w:rFonts w:hint="default" w:ascii="Times New Roman" w:hAnsi="Times New Roman" w:eastAsia="方正楷体_GBK" w:cs="Times New Roman"/>
          <w:b/>
          <w:bCs/>
          <w:i w:val="0"/>
          <w:iCs w:val="0"/>
          <w:color w:val="auto"/>
          <w:kern w:val="0"/>
          <w:sz w:val="32"/>
          <w:szCs w:val="32"/>
          <w:u w:val="none"/>
          <w:lang w:eastAsia="zh-CN" w:bidi="ar"/>
        </w:rPr>
        <w:t>）</w:t>
      </w:r>
      <w:r>
        <w:rPr>
          <w:rFonts w:hint="default" w:ascii="Times New Roman" w:hAnsi="Times New Roman" w:eastAsia="方正楷体_GBK" w:cs="Times New Roman"/>
          <w:b/>
          <w:bCs/>
          <w:i w:val="0"/>
          <w:iCs w:val="0"/>
          <w:color w:val="auto"/>
          <w:kern w:val="0"/>
          <w:sz w:val="32"/>
          <w:szCs w:val="32"/>
          <w:u w:val="none"/>
          <w:lang w:bidi="ar"/>
        </w:rPr>
        <w:t>市场与吸引力问题</w:t>
      </w:r>
    </w:p>
    <w:p w14:paraId="2A2ACCB9">
      <w:pPr>
        <w:pageBreakBefore w:val="0"/>
        <w:shd w:val="clear" w:color="auto" w:fill="auto"/>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bidi="ar"/>
        </w:rPr>
      </w:pPr>
      <w:r>
        <w:rPr>
          <w:rFonts w:hint="default" w:ascii="Times New Roman" w:hAnsi="Times New Roman" w:eastAsia="方正仿宋_GBK" w:cs="Times New Roman"/>
          <w:b w:val="0"/>
          <w:bCs w:val="0"/>
          <w:i w:val="0"/>
          <w:iCs w:val="0"/>
          <w:color w:val="auto"/>
          <w:kern w:val="0"/>
          <w:sz w:val="32"/>
          <w:szCs w:val="32"/>
          <w:u w:val="none"/>
          <w:lang w:bidi="ar"/>
        </w:rPr>
        <w:t>尽管石台县享有“中国生态硒都”的美誉，但</w:t>
      </w:r>
      <w:r>
        <w:rPr>
          <w:rFonts w:hint="default" w:ascii="Times New Roman" w:hAnsi="Times New Roman" w:eastAsia="方正仿宋_GBK" w:cs="Times New Roman"/>
          <w:b w:val="0"/>
          <w:bCs w:val="0"/>
          <w:i w:val="0"/>
          <w:iCs w:val="0"/>
          <w:color w:val="auto"/>
          <w:kern w:val="0"/>
          <w:sz w:val="32"/>
          <w:szCs w:val="32"/>
          <w:u w:val="none"/>
          <w:lang w:val="en-US" w:eastAsia="zh-CN" w:bidi="ar"/>
        </w:rPr>
        <w:t>硒文化</w:t>
      </w:r>
      <w:r>
        <w:rPr>
          <w:rFonts w:hint="default" w:ascii="Times New Roman" w:hAnsi="Times New Roman" w:eastAsia="方正仿宋_GBK" w:cs="Times New Roman"/>
          <w:b w:val="0"/>
          <w:bCs w:val="0"/>
          <w:i w:val="0"/>
          <w:iCs w:val="0"/>
          <w:color w:val="auto"/>
          <w:kern w:val="0"/>
          <w:sz w:val="32"/>
          <w:szCs w:val="32"/>
          <w:u w:val="none"/>
          <w:lang w:bidi="ar"/>
        </w:rPr>
        <w:t>品牌知名度在全国范围内仍有待提高。与陕西紫阳、湖北恩施等同样以富硒著称的地区相比，石台硒</w:t>
      </w:r>
      <w:r>
        <w:rPr>
          <w:rFonts w:hint="default" w:ascii="Times New Roman" w:hAnsi="Times New Roman" w:eastAsia="方正仿宋_GBK" w:cs="Times New Roman"/>
          <w:b w:val="0"/>
          <w:bCs w:val="0"/>
          <w:i w:val="0"/>
          <w:iCs w:val="0"/>
          <w:color w:val="auto"/>
          <w:kern w:val="0"/>
          <w:sz w:val="32"/>
          <w:szCs w:val="32"/>
          <w:u w:val="none"/>
          <w:lang w:val="en-US" w:eastAsia="zh-CN" w:bidi="ar"/>
        </w:rPr>
        <w:t>文化</w:t>
      </w:r>
      <w:r>
        <w:rPr>
          <w:rFonts w:hint="default" w:ascii="Times New Roman" w:hAnsi="Times New Roman" w:eastAsia="方正仿宋_GBK" w:cs="Times New Roman"/>
          <w:b w:val="0"/>
          <w:bCs w:val="0"/>
          <w:i w:val="0"/>
          <w:iCs w:val="0"/>
          <w:color w:val="auto"/>
          <w:kern w:val="0"/>
          <w:sz w:val="32"/>
          <w:szCs w:val="32"/>
          <w:u w:val="none"/>
          <w:lang w:bidi="ar"/>
        </w:rPr>
        <w:t>品牌的市场认知度和影响力相对有限，需要进一步打响“石台硒品”的知名度。目前，富硒产品的市场主要集中在省内及周边地区，全国性的市场渠道尚未完全打开，产品销售对本地游客和回头客依赖较大。产品老化方面，部分传统富硒农产品（如普通富硒大米、茶叶）的品种和包装较为传统，缺乏创新，难以吸引年轻消费者。同时，市场上富硒概念产品众多，竞争激烈，石台硒</w:t>
      </w:r>
      <w:r>
        <w:rPr>
          <w:rFonts w:hint="default" w:ascii="Times New Roman" w:hAnsi="Times New Roman" w:eastAsia="方正仿宋_GBK" w:cs="Times New Roman"/>
          <w:b w:val="0"/>
          <w:bCs w:val="0"/>
          <w:i w:val="0"/>
          <w:iCs w:val="0"/>
          <w:color w:val="auto"/>
          <w:kern w:val="0"/>
          <w:sz w:val="32"/>
          <w:szCs w:val="32"/>
          <w:u w:val="none"/>
          <w:lang w:val="en-US" w:eastAsia="zh-CN" w:bidi="ar"/>
        </w:rPr>
        <w:t>文化</w:t>
      </w:r>
      <w:r>
        <w:rPr>
          <w:rFonts w:hint="default" w:ascii="Times New Roman" w:hAnsi="Times New Roman" w:eastAsia="方正仿宋_GBK" w:cs="Times New Roman"/>
          <w:b w:val="0"/>
          <w:bCs w:val="0"/>
          <w:i w:val="0"/>
          <w:iCs w:val="0"/>
          <w:color w:val="auto"/>
          <w:kern w:val="0"/>
          <w:sz w:val="32"/>
          <w:szCs w:val="32"/>
          <w:u w:val="none"/>
          <w:lang w:bidi="ar"/>
        </w:rPr>
        <w:t>产品需要在品质和特色上形成差异化优势，否则可能被模仿替代。留客难和复游率方面，硒文化旅游目前仍处于发展初期，对游客的吸引力主要来自健康理念，但旅游产品相对单一，游客往往停留数日体验后即离开，缺乏持续吸引其反复前来的长效机制。如何将“硒养生”转化为持久的</w:t>
      </w:r>
      <w:r>
        <w:rPr>
          <w:rFonts w:hint="default" w:ascii="Times New Roman" w:hAnsi="Times New Roman" w:eastAsia="方正仿宋_GBK" w:cs="Times New Roman"/>
          <w:b w:val="0"/>
          <w:bCs w:val="0"/>
          <w:i w:val="0"/>
          <w:iCs w:val="0"/>
          <w:color w:val="auto"/>
          <w:kern w:val="0"/>
          <w:sz w:val="32"/>
          <w:szCs w:val="32"/>
          <w:u w:val="none"/>
          <w:lang w:val="en-US" w:eastAsia="zh-CN" w:bidi="ar"/>
        </w:rPr>
        <w:t>硒文化</w:t>
      </w:r>
      <w:r>
        <w:rPr>
          <w:rFonts w:hint="default" w:ascii="Times New Roman" w:hAnsi="Times New Roman" w:eastAsia="方正仿宋_GBK" w:cs="Times New Roman"/>
          <w:b w:val="0"/>
          <w:bCs w:val="0"/>
          <w:i w:val="0"/>
          <w:iCs w:val="0"/>
          <w:color w:val="auto"/>
          <w:kern w:val="0"/>
          <w:sz w:val="32"/>
          <w:szCs w:val="32"/>
          <w:u w:val="none"/>
          <w:lang w:bidi="ar"/>
        </w:rPr>
        <w:t>旅游吸引力，打造让游客愿意多次造访的养生度假目的地，是市场拓展面临的挑战。</w:t>
      </w:r>
    </w:p>
    <w:p w14:paraId="1877988D">
      <w:pPr>
        <w:pageBreakBefore w:val="0"/>
        <w:shd w:val="clear" w:color="auto" w:fill="auto"/>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eastAsia="zh-CN" w:bidi="ar"/>
        </w:rPr>
      </w:pPr>
      <w:r>
        <w:rPr>
          <w:rFonts w:hint="default" w:ascii="Times New Roman" w:hAnsi="Times New Roman" w:eastAsia="方正楷体_GBK" w:cs="Times New Roman"/>
          <w:b/>
          <w:bCs/>
          <w:i w:val="0"/>
          <w:iCs w:val="0"/>
          <w:color w:val="auto"/>
          <w:kern w:val="0"/>
          <w:sz w:val="32"/>
          <w:szCs w:val="32"/>
          <w:u w:val="none"/>
          <w:lang w:eastAsia="zh-CN" w:bidi="ar"/>
        </w:rPr>
        <w:t>（</w:t>
      </w:r>
      <w:r>
        <w:rPr>
          <w:rFonts w:hint="default" w:ascii="Times New Roman" w:hAnsi="Times New Roman" w:eastAsia="方正楷体_GBK" w:cs="Times New Roman"/>
          <w:b/>
          <w:bCs/>
          <w:i w:val="0"/>
          <w:iCs w:val="0"/>
          <w:color w:val="auto"/>
          <w:kern w:val="0"/>
          <w:sz w:val="32"/>
          <w:szCs w:val="32"/>
          <w:u w:val="none"/>
          <w:lang w:val="en-US" w:eastAsia="zh-CN" w:bidi="ar"/>
        </w:rPr>
        <w:t>二</w:t>
      </w:r>
      <w:r>
        <w:rPr>
          <w:rFonts w:hint="default" w:ascii="Times New Roman" w:hAnsi="Times New Roman" w:eastAsia="方正楷体_GBK" w:cs="Times New Roman"/>
          <w:b/>
          <w:bCs/>
          <w:i w:val="0"/>
          <w:iCs w:val="0"/>
          <w:color w:val="auto"/>
          <w:kern w:val="0"/>
          <w:sz w:val="32"/>
          <w:szCs w:val="32"/>
          <w:u w:val="none"/>
          <w:lang w:eastAsia="zh-CN" w:bidi="ar"/>
        </w:rPr>
        <w:t>）产品与体验问题</w:t>
      </w:r>
    </w:p>
    <w:p w14:paraId="1E203F62">
      <w:pPr>
        <w:pageBreakBefore w:val="0"/>
        <w:shd w:val="clear" w:color="auto" w:fill="auto"/>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bidi="ar"/>
        </w:rPr>
      </w:pPr>
      <w:r>
        <w:rPr>
          <w:rFonts w:hint="default" w:ascii="Times New Roman" w:hAnsi="Times New Roman" w:eastAsia="方正仿宋_GBK" w:cs="Times New Roman"/>
          <w:b w:val="0"/>
          <w:bCs w:val="0"/>
          <w:i w:val="0"/>
          <w:iCs w:val="0"/>
          <w:color w:val="auto"/>
          <w:kern w:val="0"/>
          <w:sz w:val="32"/>
          <w:szCs w:val="32"/>
          <w:u w:val="none"/>
          <w:lang w:bidi="ar"/>
        </w:rPr>
        <w:t>在产品层面，富硒产业链主要集中在初级农产品和简单加工品，高附加值的功能食品、保健品开发相对滞后，产品科技含量和文化内涵挖掘不够。许多游客购买的富硒产品以茶叶、大米等为主，缺乏创意包装和品牌故事，难以形成持久的吸引力。在体验层面，硒文化旅游形式较为传统，多为参观茶园、品硒茶、吃硒餐等，互动体验不足。游客参与性强的</w:t>
      </w:r>
      <w:r>
        <w:rPr>
          <w:rFonts w:hint="default" w:ascii="Times New Roman" w:hAnsi="Times New Roman" w:eastAsia="方正仿宋_GBK" w:cs="Times New Roman"/>
          <w:b w:val="0"/>
          <w:bCs w:val="0"/>
          <w:i w:val="0"/>
          <w:iCs w:val="0"/>
          <w:color w:val="auto"/>
          <w:kern w:val="0"/>
          <w:sz w:val="32"/>
          <w:szCs w:val="32"/>
          <w:u w:val="none"/>
          <w:lang w:val="en-US" w:eastAsia="zh-CN" w:bidi="ar"/>
        </w:rPr>
        <w:t>活动</w:t>
      </w:r>
      <w:r>
        <w:rPr>
          <w:rFonts w:hint="default" w:ascii="Times New Roman" w:hAnsi="Times New Roman" w:eastAsia="方正仿宋_GBK" w:cs="Times New Roman"/>
          <w:b w:val="0"/>
          <w:bCs w:val="0"/>
          <w:i w:val="0"/>
          <w:iCs w:val="0"/>
          <w:color w:val="auto"/>
          <w:kern w:val="0"/>
          <w:sz w:val="32"/>
          <w:szCs w:val="32"/>
          <w:u w:val="none"/>
          <w:lang w:bidi="ar"/>
        </w:rPr>
        <w:t>较少，如缺少亲手制作富硒食品、参与富硒农耕等深度体验活动。</w:t>
      </w:r>
    </w:p>
    <w:p w14:paraId="6E6B7E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黑体_GBK" w:cs="Times New Roman"/>
          <w:b w:val="0"/>
          <w:bCs w:val="0"/>
          <w:i w:val="0"/>
          <w:iCs w:val="0"/>
          <w:color w:val="auto"/>
          <w:kern w:val="0"/>
          <w:sz w:val="32"/>
          <w:szCs w:val="32"/>
          <w:lang w:val="en-US" w:eastAsia="zh-CN" w:bidi="ar"/>
        </w:rPr>
      </w:pPr>
      <w:r>
        <w:rPr>
          <w:rFonts w:hint="default" w:ascii="Times New Roman" w:hAnsi="Times New Roman" w:eastAsia="方正黑体_GBK" w:cs="Times New Roman"/>
          <w:b w:val="0"/>
          <w:bCs w:val="0"/>
          <w:i w:val="0"/>
          <w:iCs w:val="0"/>
          <w:color w:val="auto"/>
          <w:kern w:val="0"/>
          <w:sz w:val="32"/>
          <w:szCs w:val="32"/>
          <w:lang w:val="en-US" w:eastAsia="zh-CN" w:bidi="ar"/>
        </w:rPr>
        <w:t>五、未来发展愿景</w:t>
      </w:r>
    </w:p>
    <w:p w14:paraId="4C73E1B7">
      <w:pPr>
        <w:pageBreakBefore w:val="0"/>
        <w:shd w:val="clear" w:color="auto" w:fill="auto"/>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（一）期望引入的新业态/新体验</w:t>
      </w:r>
    </w:p>
    <w:p w14:paraId="0454AC93">
      <w:pPr>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bidi="ar"/>
        </w:rPr>
      </w:pPr>
      <w:r>
        <w:rPr>
          <w:rFonts w:hint="default" w:ascii="Times New Roman" w:hAnsi="Times New Roman" w:eastAsia="方正仿宋_GBK" w:cs="Times New Roman"/>
          <w:b w:val="0"/>
          <w:bCs w:val="0"/>
          <w:i w:val="0"/>
          <w:iCs w:val="0"/>
          <w:color w:val="auto"/>
          <w:kern w:val="0"/>
          <w:sz w:val="32"/>
          <w:szCs w:val="32"/>
          <w:u w:val="none"/>
          <w:lang w:bidi="ar"/>
        </w:rPr>
        <w:t>未来石台县将围绕“硒养生活”主题，引入一系列新业态和体验项目，推动硒文化产业升级，打造全国知名的富硒养生目的地。</w:t>
      </w:r>
    </w:p>
    <w:p w14:paraId="020EF6E9">
      <w:pPr>
        <w:pageBreakBefore w:val="0"/>
        <w:shd w:val="clear" w:color="auto" w:fill="auto"/>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（二）希望塑造的新形象/新标签</w:t>
      </w:r>
    </w:p>
    <w:p w14:paraId="4B17EFBF">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i w:val="0"/>
          <w:iCs w:val="0"/>
          <w:color w:val="auto"/>
          <w:kern w:val="0"/>
          <w:sz w:val="32"/>
          <w:szCs w:val="32"/>
          <w:u w:val="none"/>
          <w:lang w:bidi="ar"/>
        </w:rPr>
        <w:t>石台县硒文化项目的长远愿景是塑造“中国硒养之都”的城市形象，使之成为全国富硒产业和养生旅游的标杆。</w:t>
      </w:r>
    </w:p>
    <w:p w14:paraId="07616657">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仿宋" w:cs="Times New Roman"/>
          <w:b w:val="0"/>
          <w:bCs w:val="0"/>
          <w:i w:val="0"/>
          <w:iCs w:val="0"/>
          <w:color w:val="auto"/>
          <w:sz w:val="30"/>
          <w:szCs w:val="30"/>
        </w:rPr>
        <w:br w:type="page"/>
      </w:r>
    </w:p>
    <w:p w14:paraId="76A34CC4">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_GBK" w:cs="Times New Roman"/>
          <w:b w:val="0"/>
          <w:bCs w:val="0"/>
          <w:color w:val="auto"/>
          <w:sz w:val="32"/>
          <w:szCs w:val="32"/>
          <w:lang w:val="en-US" w:eastAsia="zh-CN"/>
        </w:rPr>
      </w:pPr>
      <w:r>
        <w:rPr>
          <w:rFonts w:hint="default" w:ascii="Times New Roman" w:hAnsi="Times New Roman" w:eastAsia="方正小标宋_GBK" w:cs="Times New Roman"/>
          <w:b w:val="0"/>
          <w:bCs w:val="0"/>
          <w:color w:val="auto"/>
          <w:sz w:val="32"/>
          <w:szCs w:val="32"/>
          <w:lang w:val="en-US" w:eastAsia="zh-CN"/>
        </w:rPr>
        <w:t>青阳腔</w:t>
      </w:r>
    </w:p>
    <w:p w14:paraId="0E53E1CA">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方正小标宋_GBK" w:cs="Times New Roman"/>
          <w:b w:val="0"/>
          <w:bCs w:val="0"/>
          <w:color w:val="auto"/>
          <w:sz w:val="32"/>
          <w:szCs w:val="32"/>
          <w:lang w:val="en-US" w:eastAsia="zh-CN"/>
        </w:rPr>
      </w:pPr>
    </w:p>
    <w:p w14:paraId="376CB131">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基础信息</w:t>
      </w:r>
    </w:p>
    <w:p w14:paraId="4BBAE6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管理/权属单位</w:t>
      </w:r>
    </w:p>
    <w:p w14:paraId="46767F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青阳县文化和旅游局</w:t>
      </w:r>
    </w:p>
    <w:p w14:paraId="24BB0D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对接联系人</w:t>
      </w:r>
    </w:p>
    <w:p w14:paraId="289F12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职务：青阳县文化和旅游局党组成员</w:t>
      </w:r>
    </w:p>
    <w:p w14:paraId="0A98CD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姓名：金诚</w:t>
      </w:r>
    </w:p>
    <w:p w14:paraId="051C8A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电话：</w:t>
      </w:r>
      <w:bookmarkStart w:id="0" w:name="_GoBack"/>
      <w:r>
        <w:rPr>
          <w:rFonts w:hint="default" w:ascii="Times New Roman" w:hAnsi="Times New Roman" w:eastAsia="方正仿宋_GBK" w:cs="Times New Roman"/>
          <w:b w:val="0"/>
          <w:bCs w:val="0"/>
          <w:i w:val="0"/>
          <w:iCs w:val="0"/>
          <w:color w:val="auto"/>
          <w:kern w:val="0"/>
          <w:sz w:val="32"/>
          <w:szCs w:val="32"/>
          <w:u w:val="none"/>
          <w:lang w:val="en-US" w:eastAsia="zh-CN" w:bidi="ar"/>
        </w:rPr>
        <w:t>15305668278</w:t>
      </w:r>
    </w:p>
    <w:bookmarkEnd w:id="0"/>
    <w:p w14:paraId="726A41C2">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文化元素深度解读</w:t>
      </w:r>
    </w:p>
    <w:p w14:paraId="4861AAD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历史渊源与传说故事和文化符号与象征意义</w:t>
      </w:r>
    </w:p>
    <w:p w14:paraId="068A65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青阳腔，是一种古老的戏曲声腔，兴起于明代嘉靖年间，至今已有500多年的历史，被誉称为京剧“鼻祖”，与昆山腔一起被誉为“徽池雅调”，在2006年5月，被列入首批国家级非物质文化遗产名录。这一新起的声腔突破曲牌联套体的音乐结构，发展了“滚调”，在戏曲发展史上，有着重要的发展研究意义。</w:t>
      </w:r>
    </w:p>
    <w:p w14:paraId="4613E30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现存形态与技艺流程</w:t>
      </w:r>
    </w:p>
    <w:p w14:paraId="47A2D2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近年来，青阳县九华云水文化旅游传媒有限公司采取“线上+线下”演出方式，持续开展“戏曲进校园”“青阳腔小剧场常态化文艺展演”“濒临失传剧种公益性演出”等展演活动，积极推动非遗文化走近群众，提升非遗知晓率和美誉度。积极参加省内外戏曲创作展演合作交流，如参与安徽省优秀地方戏曲（声腔）剧目展演、全省传统戏剧扶持项目汇演、安徽省优秀现代小戏展演等大型活动的非遗展演累计达20余场；开展青阳腔艺术交流、文旅推介、公益性演出、文化惠民等各类展演活动累计达1000余场，着力打造文化品牌，增强非遗文化的辐射力和感召力，不断取得经济和社会双重效益。</w:t>
      </w:r>
    </w:p>
    <w:p w14:paraId="7A94D7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（三）代表性传承人与团体</w:t>
      </w:r>
    </w:p>
    <w:p w14:paraId="2B5274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青阳县九华云水文化旅游传媒有限公司于2019年6月注册成立，是一家县属国有独资企业，现有职工13人（含青阳腔省级非遗传承人2名，青阳腔市级非遗传承人1名。其中，省级非遗传承人江进老师荣获全国非物质文化遗产保护工作先进个人荣誉称号）。近年来，公司（青阳腔）安徽省非物质文化遗产传承基地、安徽省国际交流合作基地、安徽省非物质文化遗产传承研学基地、全省共青团教育培训实践基地、安徽省首批类博物馆名录、池州市社会科学普及基地、首批青阳县研学旅游实践教育示范点等荣誉称号，与合肥工业大学、安徽师范大学、池州学院、安庆师范大学、池州市旅游学校互建实践教学基地，研学旅游项目荣获安徽省研学旅游“新场景”十佳案例，并连续五年荣获池州市国有文艺院团社会效益评价考核优秀等级。公司始终坚持守正创新，促进剧目生产。一是为传承经典剧目，重现经典艺术，赓续文化基因，公司先后复排《百花赠剑》《美周郎·顾曲》《送饭》《圆月桥》《拜月》《夜等》等7部青阳腔传统经典剧目，力争将青阳腔原汁原味地重现舞台。其中：《送饭》入选2024年文化和旅游部优秀传统戏曲复排计划名录。二是为丰富青阳腔传承资源体系，以传承助创新，激发濒临失传剧种的内生动力，秉持着“一年新增一部新剧”的目标，公司成立5年以来，新创《还乡》《凤出青阳》《拆墙》《狮子门传奇》《田家有杏不需梅》《宾山酒馆》等6部青阳腔作品。其中：小戏《还乡》入选2019年安徽省戏剧创作孵化计划项目；《狮子门传奇》入选2022年池州市戏剧创作孵化计划项目、2023年第三届“安徽廉洁文化精品工程”作品；《田家有杏不需梅》获2023年池州市首届“杏花奖”小型剧本征集大赛一等奖，入选2024年安徽省戏剧创作孵化计划项目。</w:t>
      </w:r>
    </w:p>
    <w:p w14:paraId="4984F13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当前开发与传播状况</w:t>
      </w:r>
    </w:p>
    <w:p w14:paraId="1CF3256A">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部分现有文创产品/衍生品</w:t>
      </w:r>
    </w:p>
    <w:p w14:paraId="015449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楷体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围绕“非遗遇见文创”的主题方向，以青阳腔优秀文化资源为根基，以市场需求为导向，打造“沉浸式”青阳腔非遗文创打卡展区，让青阳腔戏曲元素呈现在不同现实载体中，打造“有戏、有腔调”的浓厚文化氛围，拓宽公众艺术交流新空间，提升游客旅游体验的丰富度和独特性。同时加大青阳腔特色文创产品研发力度，以受众需求为出发点，研发设计青阳腔戏曲脸谱12个、卡通戏曲人物形象4个及地标形象2个，开发温控保温杯、笔记本、炫彩记事笔、书签等文创好物十余件，提升非遗知名度和美誉度。</w:t>
      </w:r>
    </w:p>
    <w:p w14:paraId="7375FB14">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当前的传播与展示渠道</w:t>
      </w:r>
    </w:p>
    <w:p w14:paraId="540ECA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青阳县现建有青阳腔博物馆，馆舍面积约3000平方米，是国家级非物质文化遗产项目青阳腔对外宣传展示的主要阵地。展出了许多青阳腔研究成果，为其项目实施提供主要场所和平台。</w:t>
      </w:r>
    </w:p>
    <w:p w14:paraId="3626C2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楷体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一是公司全方位、多方面积极投稿面向全社会的权威优质平台，并受邀参加多家主流媒体的宣传拍摄。如青阳腔《百花赠剑》参加中央广播电视总台社教节目中心《跟着书本去旅行》栏目录制。“学习强国”安徽学习平台多次专题宣传报道青阳腔传承保护工作。《送饭斩娥》《圆月桥》《拜月》参加国家艺术基金项目《中国音乐地图·听见安徽》的演出录制。二是积极探索以党建促发展的模式，打造“戏曲+思政”品牌，归纳提炼老辈艺术家在青阳腔非遗文化传承、发展、弘扬上勤耕不辍和甘当人梯的精神，如以公司优秀共产党员、青阳腔省级非遗传承人江进老师先进事迹拍摄的党教片《山花烂漫》荣获中央组织部举办的第十六届全国党员教育电视片观摩交流活动文艺片类一等奖、最佳编导奖。三是扩宽宣传维度，深挖青阳腔非遗文化底蕴和内涵，积极通过自媒体及短视频平台，设立青阳腔非遗文化宣传推广专题，围绕戏曲知识普及、编创排练、交流展演等多方面累计摄制短视频40余个，传播非遗文化，讲述青阳非遗故事。</w:t>
      </w:r>
    </w:p>
    <w:p w14:paraId="6FC6FE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（三）目标受众认知度</w:t>
      </w:r>
    </w:p>
    <w:p w14:paraId="112F43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年轻人目前比较喜欢年轻化的非遗文创产品。</w:t>
      </w:r>
    </w:p>
    <w:p w14:paraId="1A2A2910">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设计方向与商业化痛点</w:t>
      </w:r>
    </w:p>
    <w:p w14:paraId="6F6C6CE5">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希望突破的设计瓶颈</w:t>
      </w:r>
    </w:p>
    <w:p w14:paraId="54D9BA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形象需要新颖有吸引力，产品设计不够精美，产品种类创新度不够，品类单一。</w:t>
      </w:r>
    </w:p>
    <w:p w14:paraId="4D3CC269">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希望拓展的产品品类</w:t>
      </w:r>
    </w:p>
    <w:p w14:paraId="157891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数字艺术品、家居用品、伴手礼、玩具等。</w:t>
      </w:r>
    </w:p>
    <w:p w14:paraId="365D9E0E">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商业化面临的主要障碍</w:t>
      </w:r>
    </w:p>
    <w:p w14:paraId="78DAF4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生产制作成本高，导致产品单价高，市场销售渠道窄，销售量不足，经济效益不明显。</w:t>
      </w:r>
    </w:p>
    <w:p w14:paraId="0532CF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（四）对IP化开发的构想</w:t>
      </w:r>
    </w:p>
    <w:p w14:paraId="0F32CA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希望打造的IP形象具有典型的代表性，或者能充分展现青阳腔作为戏曲声腔的特点，产品角色带有声音介绍和展现。</w:t>
      </w:r>
    </w:p>
    <w:p w14:paraId="75D2FFE4">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黑体_GBK" w:cs="Times New Roman"/>
          <w:b w:val="0"/>
          <w:bCs w:val="0"/>
          <w:i w:val="0"/>
          <w:iCs w:val="0"/>
          <w:color w:val="auto"/>
          <w:kern w:val="0"/>
          <w:sz w:val="32"/>
          <w:szCs w:val="32"/>
          <w:u w:val="none"/>
          <w:lang w:val="en-US" w:eastAsia="zh-CN" w:bidi="ar"/>
        </w:rPr>
      </w:pPr>
      <w:r>
        <w:rPr>
          <w:rFonts w:hint="default" w:ascii="Times New Roman" w:hAnsi="Times New Roman" w:eastAsia="方正黑体_GBK" w:cs="Times New Roman"/>
          <w:b w:val="0"/>
          <w:bCs w:val="0"/>
          <w:i w:val="0"/>
          <w:iCs w:val="0"/>
          <w:color w:val="auto"/>
          <w:kern w:val="0"/>
          <w:sz w:val="32"/>
          <w:szCs w:val="32"/>
          <w:u w:val="none"/>
          <w:lang w:val="en-US" w:eastAsia="zh-CN" w:bidi="ar"/>
        </w:rPr>
        <w:t>未来发展愿景</w:t>
      </w:r>
    </w:p>
    <w:p w14:paraId="6B95F510">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期望引入的新业态/新体验</w:t>
      </w:r>
    </w:p>
    <w:p w14:paraId="4191D5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加大青阳腔博物馆对外合作机制，承接各类文艺活动演出，促进与各企业、事业单位合作，建立演出合作机制，提升公司对外的商演能力。</w:t>
      </w:r>
    </w:p>
    <w:p w14:paraId="1773302A">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方正楷体_GBK" w:cs="Times New Roman"/>
          <w:b/>
          <w:bCs/>
          <w:i w:val="0"/>
          <w:iCs w:val="0"/>
          <w:color w:val="auto"/>
          <w:kern w:val="0"/>
          <w:sz w:val="32"/>
          <w:szCs w:val="32"/>
          <w:u w:val="none"/>
          <w:lang w:val="en-US" w:eastAsia="zh-CN" w:bidi="ar"/>
        </w:rPr>
      </w:pPr>
      <w:r>
        <w:rPr>
          <w:rFonts w:hint="default" w:ascii="Times New Roman" w:hAnsi="Times New Roman" w:eastAsia="方正楷体_GBK" w:cs="Times New Roman"/>
          <w:b/>
          <w:bCs/>
          <w:i w:val="0"/>
          <w:iCs w:val="0"/>
          <w:color w:val="auto"/>
          <w:kern w:val="0"/>
          <w:sz w:val="32"/>
          <w:szCs w:val="32"/>
          <w:u w:val="none"/>
          <w:lang w:val="en-US" w:eastAsia="zh-CN" w:bidi="ar"/>
        </w:rPr>
        <w:t>希望塑造的新形象/新标签</w:t>
      </w:r>
    </w:p>
    <w:p w14:paraId="33A451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i w:val="0"/>
          <w:iCs w:val="0"/>
          <w:color w:val="auto"/>
          <w:kern w:val="0"/>
          <w:sz w:val="32"/>
          <w:szCs w:val="32"/>
          <w:u w:val="none"/>
          <w:lang w:val="en-US" w:eastAsia="zh-CN" w:bidi="ar"/>
        </w:rPr>
      </w:pPr>
      <w:r>
        <w:rPr>
          <w:rFonts w:hint="default" w:ascii="Times New Roman" w:hAnsi="Times New Roman" w:eastAsia="方正仿宋_GBK" w:cs="Times New Roman"/>
          <w:b w:val="0"/>
          <w:bCs w:val="0"/>
          <w:i w:val="0"/>
          <w:iCs w:val="0"/>
          <w:color w:val="auto"/>
          <w:kern w:val="0"/>
          <w:sz w:val="32"/>
          <w:szCs w:val="32"/>
          <w:u w:val="none"/>
          <w:lang w:val="en-US" w:eastAsia="zh-CN" w:bidi="ar"/>
        </w:rPr>
        <w:t>非遗美学研学旅游体验地。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1" w:fontKey="{0E4294FE-9FFE-482C-9141-0D06C8ABCAAA}"/>
  </w:font>
  <w:font w:name="方正黑体_GBK">
    <w:panose1 w:val="03000509000000000000"/>
    <w:charset w:val="86"/>
    <w:family w:val="auto"/>
    <w:pitch w:val="default"/>
    <w:sig w:usb0="00000001" w:usb1="080E0000" w:usb2="00000000" w:usb3="00000000" w:csb0="00040000" w:csb1="00000000"/>
    <w:embedRegular r:id="rId2" w:fontKey="{F04B45C9-E3BA-4287-8B79-F18A026C59C9}"/>
  </w:font>
  <w:font w:name="方正楷体_GBK">
    <w:panose1 w:val="03000509000000000000"/>
    <w:charset w:val="86"/>
    <w:family w:val="auto"/>
    <w:pitch w:val="default"/>
    <w:sig w:usb0="00000001" w:usb1="080E0000" w:usb2="00000000" w:usb3="00000000" w:csb0="00040000" w:csb1="00000000"/>
    <w:embedRegular r:id="rId3" w:fontKey="{3158EE6C-AFCA-42C5-BE25-3E4EB6F2F9E6}"/>
  </w:font>
  <w:font w:name="Calibri Light">
    <w:panose1 w:val="020F0302020204030204"/>
    <w:charset w:val="00"/>
    <w:family w:val="auto"/>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4" w:fontKey="{DF234BE5-212F-421D-8102-FD5220715E58}"/>
  </w:font>
  <w:font w:name="方正小标宋简体">
    <w:panose1 w:val="03000509000000000000"/>
    <w:charset w:val="86"/>
    <w:family w:val="auto"/>
    <w:pitch w:val="default"/>
    <w:sig w:usb0="00000001" w:usb1="080E0000" w:usb2="00000000" w:usb3="00000000" w:csb0="00040000" w:csb1="00000000"/>
    <w:embedRegular r:id="rId5" w:fontKey="{205645AB-B6D7-40F5-B1B6-678197C6320A}"/>
  </w:font>
  <w:font w:name="仿宋_GB2312">
    <w:altName w:val="仿宋"/>
    <w:panose1 w:val="02010609030101010101"/>
    <w:charset w:val="86"/>
    <w:family w:val="auto"/>
    <w:pitch w:val="default"/>
    <w:sig w:usb0="00000000" w:usb1="00000000" w:usb2="00000000" w:usb3="00000000" w:csb0="00040000" w:csb1="00000000"/>
    <w:embedRegular r:id="rId6" w:fontKey="{1DE4EF80-F3A3-4E0A-90DA-35479EA34641}"/>
  </w:font>
  <w:font w:name="仿宋">
    <w:panose1 w:val="02010609060101010101"/>
    <w:charset w:val="86"/>
    <w:family w:val="auto"/>
    <w:pitch w:val="default"/>
    <w:sig w:usb0="800002BF" w:usb1="38CF7CFA" w:usb2="00000016" w:usb3="00000000" w:csb0="00040001" w:csb1="00000000"/>
    <w:embedRegular r:id="rId7" w:fontKey="{7C97B5B5-8A7A-4BA2-9481-1401ED81D0B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22A549"/>
    <w:multiLevelType w:val="singleLevel"/>
    <w:tmpl w:val="9E22A549"/>
    <w:lvl w:ilvl="0" w:tentative="0">
      <w:start w:val="1"/>
      <w:numFmt w:val="chineseCounting"/>
      <w:suff w:val="nothing"/>
      <w:lvlText w:val="（%1）"/>
      <w:lvlJc w:val="left"/>
      <w:rPr>
        <w:rFonts w:hint="eastAsia"/>
      </w:rPr>
    </w:lvl>
  </w:abstractNum>
  <w:abstractNum w:abstractNumId="1">
    <w:nsid w:val="9FA2478A"/>
    <w:multiLevelType w:val="singleLevel"/>
    <w:tmpl w:val="9FA2478A"/>
    <w:lvl w:ilvl="0" w:tentative="0">
      <w:start w:val="1"/>
      <w:numFmt w:val="chineseCounting"/>
      <w:suff w:val="nothing"/>
      <w:lvlText w:val="%1、"/>
      <w:lvlJc w:val="left"/>
      <w:rPr>
        <w:rFonts w:hint="eastAsia"/>
      </w:rPr>
    </w:lvl>
  </w:abstractNum>
  <w:abstractNum w:abstractNumId="2">
    <w:nsid w:val="AB6AF506"/>
    <w:multiLevelType w:val="singleLevel"/>
    <w:tmpl w:val="AB6AF506"/>
    <w:lvl w:ilvl="0" w:tentative="0">
      <w:start w:val="1"/>
      <w:numFmt w:val="chineseCounting"/>
      <w:suff w:val="nothing"/>
      <w:lvlText w:val="（%1）"/>
      <w:lvlJc w:val="left"/>
      <w:rPr>
        <w:rFonts w:hint="eastAsia"/>
        <w:sz w:val="32"/>
        <w:szCs w:val="32"/>
      </w:rPr>
    </w:lvl>
  </w:abstractNum>
  <w:abstractNum w:abstractNumId="3">
    <w:nsid w:val="CDC1F79C"/>
    <w:multiLevelType w:val="singleLevel"/>
    <w:tmpl w:val="CDC1F79C"/>
    <w:lvl w:ilvl="0" w:tentative="0">
      <w:start w:val="1"/>
      <w:numFmt w:val="chineseCounting"/>
      <w:suff w:val="nothing"/>
      <w:lvlText w:val="（%1）"/>
      <w:lvlJc w:val="left"/>
      <w:rPr>
        <w:rFonts w:hint="eastAsia"/>
        <w:sz w:val="32"/>
        <w:szCs w:val="32"/>
      </w:rPr>
    </w:lvl>
  </w:abstractNum>
  <w:abstractNum w:abstractNumId="4">
    <w:nsid w:val="1EB25BFC"/>
    <w:multiLevelType w:val="singleLevel"/>
    <w:tmpl w:val="1EB25BFC"/>
    <w:lvl w:ilvl="0" w:tentative="0">
      <w:start w:val="1"/>
      <w:numFmt w:val="chineseCounting"/>
      <w:suff w:val="nothing"/>
      <w:lvlText w:val="（%1）"/>
      <w:lvlJc w:val="left"/>
      <w:rPr>
        <w:rFonts w:hint="eastAsia"/>
        <w:sz w:val="32"/>
        <w:szCs w:val="32"/>
      </w:rPr>
    </w:lvl>
  </w:abstractNum>
  <w:abstractNum w:abstractNumId="5">
    <w:nsid w:val="5B3B83D8"/>
    <w:multiLevelType w:val="singleLevel"/>
    <w:tmpl w:val="5B3B83D8"/>
    <w:lvl w:ilvl="0" w:tentative="0">
      <w:start w:val="1"/>
      <w:numFmt w:val="chineseCounting"/>
      <w:suff w:val="nothing"/>
      <w:lvlText w:val="%1、"/>
      <w:lvlJc w:val="left"/>
      <w:rPr>
        <w:rFonts w:hint="eastAsia"/>
      </w:rPr>
    </w:lvl>
  </w:abstractNum>
  <w:abstractNum w:abstractNumId="6">
    <w:nsid w:val="7E670215"/>
    <w:multiLevelType w:val="singleLevel"/>
    <w:tmpl w:val="7E670215"/>
    <w:lvl w:ilvl="0" w:tentative="0">
      <w:start w:val="1"/>
      <w:numFmt w:val="chineseCounting"/>
      <w:suff w:val="nothing"/>
      <w:lvlText w:val="（%1）"/>
      <w:lvlJc w:val="left"/>
      <w:rPr>
        <w:rFonts w:hint="eastAsia"/>
        <w:b/>
        <w:bCs/>
        <w:sz w:val="32"/>
        <w:szCs w:val="32"/>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0129B"/>
    <w:rsid w:val="00D72607"/>
    <w:rsid w:val="010F1DA1"/>
    <w:rsid w:val="021533E7"/>
    <w:rsid w:val="026003DA"/>
    <w:rsid w:val="027A5940"/>
    <w:rsid w:val="03824AAC"/>
    <w:rsid w:val="03D96696"/>
    <w:rsid w:val="043F0BEF"/>
    <w:rsid w:val="06370DAA"/>
    <w:rsid w:val="066A5A55"/>
    <w:rsid w:val="06AA187C"/>
    <w:rsid w:val="07AA0D3A"/>
    <w:rsid w:val="08A72F68"/>
    <w:rsid w:val="08D242D0"/>
    <w:rsid w:val="09D73678"/>
    <w:rsid w:val="09E66920"/>
    <w:rsid w:val="0A391C3C"/>
    <w:rsid w:val="0AB47515"/>
    <w:rsid w:val="0B4B1C27"/>
    <w:rsid w:val="0BA53A2D"/>
    <w:rsid w:val="0BAC43C7"/>
    <w:rsid w:val="0CFE06B0"/>
    <w:rsid w:val="0D5C45C0"/>
    <w:rsid w:val="0DF26CD2"/>
    <w:rsid w:val="0E250E55"/>
    <w:rsid w:val="0E5434E9"/>
    <w:rsid w:val="0F035C50"/>
    <w:rsid w:val="0F112567"/>
    <w:rsid w:val="0F5F5CA1"/>
    <w:rsid w:val="0F5F6848"/>
    <w:rsid w:val="10A342B4"/>
    <w:rsid w:val="11421D1E"/>
    <w:rsid w:val="11784C64"/>
    <w:rsid w:val="134B39F9"/>
    <w:rsid w:val="135618C9"/>
    <w:rsid w:val="14B4029A"/>
    <w:rsid w:val="14F020B0"/>
    <w:rsid w:val="14F06EC2"/>
    <w:rsid w:val="152534E9"/>
    <w:rsid w:val="15806971"/>
    <w:rsid w:val="15CA4090"/>
    <w:rsid w:val="167664C6"/>
    <w:rsid w:val="16E42F30"/>
    <w:rsid w:val="17A70B2D"/>
    <w:rsid w:val="19367B35"/>
    <w:rsid w:val="19720CC7"/>
    <w:rsid w:val="19C534ED"/>
    <w:rsid w:val="1A266185"/>
    <w:rsid w:val="1B012FBB"/>
    <w:rsid w:val="1B62748D"/>
    <w:rsid w:val="1BFE6842"/>
    <w:rsid w:val="1C0025BA"/>
    <w:rsid w:val="1D4209B0"/>
    <w:rsid w:val="1D640957"/>
    <w:rsid w:val="1E5D1F46"/>
    <w:rsid w:val="1E827C5E"/>
    <w:rsid w:val="1F2667DB"/>
    <w:rsid w:val="1FED66C4"/>
    <w:rsid w:val="20541126"/>
    <w:rsid w:val="21B420FA"/>
    <w:rsid w:val="21F91D6A"/>
    <w:rsid w:val="22411897"/>
    <w:rsid w:val="23A915A7"/>
    <w:rsid w:val="23C14D25"/>
    <w:rsid w:val="23DA5DE6"/>
    <w:rsid w:val="23E822B1"/>
    <w:rsid w:val="24C27127"/>
    <w:rsid w:val="255C1872"/>
    <w:rsid w:val="25CC1CE4"/>
    <w:rsid w:val="25FC21D2"/>
    <w:rsid w:val="2601765A"/>
    <w:rsid w:val="262D66A1"/>
    <w:rsid w:val="27B81208"/>
    <w:rsid w:val="27D019DA"/>
    <w:rsid w:val="2832107C"/>
    <w:rsid w:val="28AD1D1C"/>
    <w:rsid w:val="28D7334D"/>
    <w:rsid w:val="299D3B3E"/>
    <w:rsid w:val="29D05CC2"/>
    <w:rsid w:val="2A2878AC"/>
    <w:rsid w:val="2A9860B3"/>
    <w:rsid w:val="2B911481"/>
    <w:rsid w:val="2B9B22FF"/>
    <w:rsid w:val="2B9F3B9D"/>
    <w:rsid w:val="2BC5112A"/>
    <w:rsid w:val="2C581F9E"/>
    <w:rsid w:val="2C8114F5"/>
    <w:rsid w:val="2CB33175"/>
    <w:rsid w:val="2D2F71A3"/>
    <w:rsid w:val="2D874EDD"/>
    <w:rsid w:val="2D9042F7"/>
    <w:rsid w:val="2D931FC0"/>
    <w:rsid w:val="2F612793"/>
    <w:rsid w:val="30175D96"/>
    <w:rsid w:val="30201103"/>
    <w:rsid w:val="30662EDC"/>
    <w:rsid w:val="30A77050"/>
    <w:rsid w:val="30BF25EC"/>
    <w:rsid w:val="30C85944"/>
    <w:rsid w:val="313E3AD9"/>
    <w:rsid w:val="31844B16"/>
    <w:rsid w:val="31CA1248"/>
    <w:rsid w:val="3220129B"/>
    <w:rsid w:val="3220355E"/>
    <w:rsid w:val="32827D75"/>
    <w:rsid w:val="32D16607"/>
    <w:rsid w:val="334868C9"/>
    <w:rsid w:val="33B026C0"/>
    <w:rsid w:val="348F0527"/>
    <w:rsid w:val="3493277D"/>
    <w:rsid w:val="354E2190"/>
    <w:rsid w:val="359C2EFC"/>
    <w:rsid w:val="35D244E9"/>
    <w:rsid w:val="369342FF"/>
    <w:rsid w:val="36B14785"/>
    <w:rsid w:val="37294C63"/>
    <w:rsid w:val="38167121"/>
    <w:rsid w:val="39804AD4"/>
    <w:rsid w:val="39BD1693"/>
    <w:rsid w:val="3A176FF5"/>
    <w:rsid w:val="3A233BEC"/>
    <w:rsid w:val="3A3368D4"/>
    <w:rsid w:val="3BF84C04"/>
    <w:rsid w:val="3C830972"/>
    <w:rsid w:val="3D324146"/>
    <w:rsid w:val="3D337EB5"/>
    <w:rsid w:val="3D502BD6"/>
    <w:rsid w:val="3D6660B7"/>
    <w:rsid w:val="3D672041"/>
    <w:rsid w:val="3EBE3EE3"/>
    <w:rsid w:val="3F8E1B07"/>
    <w:rsid w:val="407222E7"/>
    <w:rsid w:val="40D45C40"/>
    <w:rsid w:val="414508EB"/>
    <w:rsid w:val="41557FD3"/>
    <w:rsid w:val="41CE6B33"/>
    <w:rsid w:val="420E33D3"/>
    <w:rsid w:val="42426BD9"/>
    <w:rsid w:val="42521512"/>
    <w:rsid w:val="42D53E10"/>
    <w:rsid w:val="42F01E41"/>
    <w:rsid w:val="4303280C"/>
    <w:rsid w:val="4315253F"/>
    <w:rsid w:val="43C24475"/>
    <w:rsid w:val="445C6678"/>
    <w:rsid w:val="45603F46"/>
    <w:rsid w:val="45A02594"/>
    <w:rsid w:val="46A47E62"/>
    <w:rsid w:val="46E44703"/>
    <w:rsid w:val="47721D0E"/>
    <w:rsid w:val="47835CCA"/>
    <w:rsid w:val="4801379C"/>
    <w:rsid w:val="488066AD"/>
    <w:rsid w:val="48AF3761"/>
    <w:rsid w:val="490B241B"/>
    <w:rsid w:val="492E7EB7"/>
    <w:rsid w:val="4ADD4A49"/>
    <w:rsid w:val="4BA83F51"/>
    <w:rsid w:val="4C6562E6"/>
    <w:rsid w:val="4CAF7561"/>
    <w:rsid w:val="4CD174D7"/>
    <w:rsid w:val="4D6B792C"/>
    <w:rsid w:val="4DCA28A4"/>
    <w:rsid w:val="4DE374C2"/>
    <w:rsid w:val="4DEA0BB2"/>
    <w:rsid w:val="4E971861"/>
    <w:rsid w:val="4FD7228A"/>
    <w:rsid w:val="50175B49"/>
    <w:rsid w:val="50265D8C"/>
    <w:rsid w:val="50811214"/>
    <w:rsid w:val="52691F60"/>
    <w:rsid w:val="5281374D"/>
    <w:rsid w:val="52CA6EA2"/>
    <w:rsid w:val="52D8453C"/>
    <w:rsid w:val="52FE4D9E"/>
    <w:rsid w:val="53807561"/>
    <w:rsid w:val="54A35BFD"/>
    <w:rsid w:val="557F387D"/>
    <w:rsid w:val="55DF2C65"/>
    <w:rsid w:val="583E1182"/>
    <w:rsid w:val="586456A3"/>
    <w:rsid w:val="58E6255C"/>
    <w:rsid w:val="58E80AEF"/>
    <w:rsid w:val="59E3084A"/>
    <w:rsid w:val="5A9C1D5C"/>
    <w:rsid w:val="5C3F445D"/>
    <w:rsid w:val="5C574531"/>
    <w:rsid w:val="5D3E2967"/>
    <w:rsid w:val="5D4D7062"/>
    <w:rsid w:val="5D6B74D4"/>
    <w:rsid w:val="5E60690D"/>
    <w:rsid w:val="5F1F0576"/>
    <w:rsid w:val="5F4C5CE4"/>
    <w:rsid w:val="5F50072F"/>
    <w:rsid w:val="602F47E9"/>
    <w:rsid w:val="605E6E7C"/>
    <w:rsid w:val="60AC5E39"/>
    <w:rsid w:val="60C2740B"/>
    <w:rsid w:val="60EB5DD7"/>
    <w:rsid w:val="60F65306"/>
    <w:rsid w:val="612B1454"/>
    <w:rsid w:val="612C2AD6"/>
    <w:rsid w:val="62375BD7"/>
    <w:rsid w:val="629400ED"/>
    <w:rsid w:val="62B47CEF"/>
    <w:rsid w:val="62EE3D6A"/>
    <w:rsid w:val="63532CF9"/>
    <w:rsid w:val="63B75221"/>
    <w:rsid w:val="640146EE"/>
    <w:rsid w:val="64462101"/>
    <w:rsid w:val="64680FC0"/>
    <w:rsid w:val="64744EC0"/>
    <w:rsid w:val="667733BA"/>
    <w:rsid w:val="667D0CB2"/>
    <w:rsid w:val="66EC6F90"/>
    <w:rsid w:val="66EF082E"/>
    <w:rsid w:val="67DE7597"/>
    <w:rsid w:val="68093B71"/>
    <w:rsid w:val="68391610"/>
    <w:rsid w:val="68646FFA"/>
    <w:rsid w:val="690256A5"/>
    <w:rsid w:val="6A6D03E7"/>
    <w:rsid w:val="6A8000FB"/>
    <w:rsid w:val="6AD94673"/>
    <w:rsid w:val="6AFE7CBB"/>
    <w:rsid w:val="6B792DBC"/>
    <w:rsid w:val="6C5C0714"/>
    <w:rsid w:val="6C9360FF"/>
    <w:rsid w:val="6CA67BE1"/>
    <w:rsid w:val="6CF3094C"/>
    <w:rsid w:val="6CF941B4"/>
    <w:rsid w:val="6DA57E98"/>
    <w:rsid w:val="6EA23008"/>
    <w:rsid w:val="6EA445F4"/>
    <w:rsid w:val="6EEE555E"/>
    <w:rsid w:val="6FB22D40"/>
    <w:rsid w:val="70A72179"/>
    <w:rsid w:val="718D75C1"/>
    <w:rsid w:val="7249798C"/>
    <w:rsid w:val="72AE77EF"/>
    <w:rsid w:val="72D0142B"/>
    <w:rsid w:val="733F2EED"/>
    <w:rsid w:val="737A5923"/>
    <w:rsid w:val="73AF7CC3"/>
    <w:rsid w:val="73EF00BF"/>
    <w:rsid w:val="743D1C12"/>
    <w:rsid w:val="74E56978"/>
    <w:rsid w:val="74E8308A"/>
    <w:rsid w:val="75976C60"/>
    <w:rsid w:val="75A90742"/>
    <w:rsid w:val="75B83D0F"/>
    <w:rsid w:val="76110824"/>
    <w:rsid w:val="76E45ED5"/>
    <w:rsid w:val="7778661E"/>
    <w:rsid w:val="779F3BAA"/>
    <w:rsid w:val="793D367B"/>
    <w:rsid w:val="79B80F53"/>
    <w:rsid w:val="7A146AD1"/>
    <w:rsid w:val="7A214D4A"/>
    <w:rsid w:val="7AF81F4F"/>
    <w:rsid w:val="7B3665D4"/>
    <w:rsid w:val="7B7443BE"/>
    <w:rsid w:val="7C0B5CB2"/>
    <w:rsid w:val="7C9A7A0D"/>
    <w:rsid w:val="7CB65C1E"/>
    <w:rsid w:val="7D1E5AD5"/>
    <w:rsid w:val="7DBA173E"/>
    <w:rsid w:val="7DD47A7D"/>
    <w:rsid w:val="7DDE31B9"/>
    <w:rsid w:val="7F802513"/>
    <w:rsid w:val="7F9F1199"/>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480" w:after="0"/>
      <w:outlineLvl w:val="0"/>
    </w:pPr>
    <w:rPr>
      <w:rFonts w:asciiTheme="majorHAnsi" w:hAnsiTheme="majorHAnsi" w:eastAsiaTheme="majorEastAsia" w:cstheme="majorBidi"/>
      <w:b/>
      <w:bCs/>
      <w:color w:val="2E54A1" w:themeColor="accent1" w:themeShade="BF"/>
      <w:sz w:val="28"/>
      <w:szCs w:val="28"/>
    </w:rPr>
  </w:style>
  <w:style w:type="paragraph" w:styleId="3">
    <w:name w:val="heading 2"/>
    <w:basedOn w:val="1"/>
    <w:next w:val="1"/>
    <w:unhideWhenUsed/>
    <w:qFormat/>
    <w:uiPriority w:val="9"/>
    <w:pPr>
      <w:keepNext/>
      <w:keepLines/>
      <w:spacing w:before="200" w:after="0"/>
      <w:outlineLvl w:val="1"/>
    </w:pPr>
    <w:rPr>
      <w:rFonts w:asciiTheme="majorHAnsi" w:hAnsiTheme="majorHAnsi" w:eastAsiaTheme="majorEastAsia" w:cstheme="majorBidi"/>
      <w:b/>
      <w:bCs/>
      <w:color w:val="4874CB" w:themeColor="accent1"/>
      <w:sz w:val="26"/>
      <w:szCs w:val="26"/>
      <w14:textFill>
        <w14:solidFill>
          <w14:schemeClr w14:val="accent1"/>
        </w14:solidFill>
      </w14:textFill>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2"/>
    <w:basedOn w:val="1"/>
    <w:next w:val="1"/>
    <w:unhideWhenUsed/>
    <w:qFormat/>
    <w:uiPriority w:val="99"/>
    <w:pPr>
      <w:spacing w:before="100" w:beforeAutospacing="1" w:after="120" w:line="480" w:lineRule="auto"/>
      <w:ind w:left="420" w:leftChars="200"/>
    </w:pPr>
    <w:rPr>
      <w:rFonts w:ascii="Calibri" w:hAnsi="Calibri" w:eastAsia="宋体" w:cs="Times New Roman"/>
      <w:szCs w:val="2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1dff495d-8ea9-4f4e-8705-a74b87d790da</errorID>
      <errorWord>福态</errorWord>
      <group>L1_Word</group>
      <groupName>字词问题</groupName>
      <ability>L2_Typo</ability>
      <abilityName>字词错误</abilityName>
      <candidateList>
        <item>富态</item>
      </candidateList>
      <explain/>
      <paraID>58B765E6</paraID>
      <start>100</start>
      <end>102</end>
      <status>unmodified</status>
      <modifiedWord/>
      <trackRevisions>false</trackRevisions>
    </reviewItem>
    <reviewItem>
      <errorID>ce7141fa-87b7-4e8b-939b-454c3b4adc5a</errorID>
      <errorWord>文词</errorWord>
      <group>L1_Word</group>
      <groupName>字词问题</groupName>
      <ability>L2_Typo</ability>
      <abilityName>字词错误</abilityName>
      <candidateList>
        <item>台词</item>
      </candidateList>
      <explain/>
      <paraID>5835BDAF</paraID>
      <start>72</start>
      <end>74</end>
      <status>unmodified</status>
      <modifiedWord/>
      <trackRevisions>false</trackRevisions>
    </reviewItem>
    <reviewItem>
      <errorID>a0287b71-4497-49da-9d39-a92093a7148e</errorID>
      <errorWord>一堂</errorWord>
      <group>L1_Knowledge</group>
      <groupName>知识性问题</groupName>
      <ability>L2_Knowledge</ability>
      <abilityName>其他知识</abilityName>
      <candidateList>
        <item>一副</item>
      </candidateList>
      <explain/>
      <paraID>5835BDAF</paraID>
      <start>101</start>
      <end>103</end>
      <status>unmodified</status>
      <modifiedWord/>
      <trackRevisions>false</trackRevisions>
    </reviewItem>
    <reviewItem>
      <errorID>d69e601d-00ae-4917-a8bc-7e26112680bc</errorID>
      <errorWord>，</errorWord>
      <group>L1_Word</group>
      <groupName>字词问题</groupName>
      <ability>L2_Typo</ability>
      <abilityName>字词错误</abilityName>
      <candidateList>
        <item>，以</item>
      </candidateList>
      <explain/>
      <paraID>3502BDC4</paraID>
      <start>414</start>
      <end>415</end>
      <status>unmodified</status>
      <modifiedWord/>
      <trackRevisions>false</trackRevisions>
    </reviewItem>
    <reviewItem>
      <errorID>0283ec83-17ff-4968-99a7-fced3dbb839c</errorID>
      <errorWord>中科院</errorWord>
      <group>L1_Knowledge</group>
      <groupName>知识性问题</groupName>
      <ability>L2_Knowledge</ability>
      <abilityName>其他知识</abilityName>
      <candidateList>
        <item>中国科学院</item>
      </candidateList>
      <explain/>
      <paraID>148CED7D</paraID>
      <start>12</start>
      <end>15</end>
      <status>unmodified</status>
      <modifiedWord/>
      <trackRevisions>false</trackRevisions>
    </reviewItem>
    <reviewItem>
      <errorID>7eba9804-ed29-4dd9-a1da-e9f3641ab542</errorID>
      <errorWord>斩娥</errorWord>
      <group>L1_Word</group>
      <groupName>字词问题</groupName>
      <ability>L2_Typo</ability>
      <abilityName>字词错误</abilityName>
      <candidateList>
        <item>嫦娥</item>
      </candidateList>
      <explain/>
      <paraID>3626C24B</paraID>
      <start>118</start>
      <end>120</end>
      <status>unmodified</status>
      <modifiedWord/>
      <trackRevisions>false</trackRevisions>
    </reviewItem>
  </reviewItems>
  <config/>
</contractReview>
</file>

<file path=customXml/itemProps1.xml><?xml version="1.0" encoding="utf-8"?>
<ds:datastoreItem xmlns:ds="http://schemas.openxmlformats.org/officeDocument/2006/customXml" ds:itemID="{6f231a10-aadc-4445-a580-acd071b9fe8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11009</Words>
  <Characters>11187</Characters>
  <Lines>0</Lines>
  <Paragraphs>0</Paragraphs>
  <TotalTime>8</TotalTime>
  <ScaleCrop>false</ScaleCrop>
  <LinksUpToDate>false</LinksUpToDate>
  <CharactersWithSpaces>11187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2025-10-22T01:27:00Z</dcterms:created>
  <dc:creator>鲨鱼辣椒</dc:creator>
  <cp:lastModifiedBy>杜风雨</cp:lastModifiedBy>
  <dcterms:modified xsi:type="dcterms:W3CDTF">2025-12-12T05:41:47Z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61A26957F4D043B982278FE3EDAAADD5_13</vt:lpwstr>
  </property>
  <property fmtid="{D5CDD505-2E9C-101B-9397-08002B2CF9AE}" pid="4" name="KSOTemplateDocerSaveRecord">
    <vt:lpwstr>eyJoZGlkIjoiOGJiNjc0YWM4ZTZkNDk4OTRkZWZkOGMxMjIyNWY2YzciLCJ1c2VySWQiOiI0MTE5OTEzNjUifQ==</vt:lpwstr>
  </property>
</Properties>
</file>